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Retilan</w:t>
      </w:r>
    </w:p>
    <w:p>
      <w:pPr>
        <w:spacing w:after="160"/>
      </w:pPr>
      <w:r>
        <w:rPr>
          <w:sz w:val="22"/>
          <w:color w:val="6B7280"/>
        </w:rPr>
        <w:t xml:space="preserve">Eye drops with citicoline, vitamin B12 and sodium hyaluronate. An ophthalmic neuroprotector.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Eye drops, 10 ml bottle. Clear red solution.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 per 1 ml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Sodium citicoline — 20.0 mg
                <w:br/>
                Sodium hyaluronate — 2.0 mg · B12 — 0.5 mg
                <w:br/>
                Sodium chloride, phosphates, purified water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Citicoline</w:t>
      </w:r>
    </w:p>
    <w:p>
      <w:pPr>
        <w:spacing w:after="120"/>
      </w:pPr>
      <w:r>
        <w:rPr>
          <w:sz w:val="22"/>
        </w:rPr>
        <w:t xml:space="preserve">A precursor of neuronal-membrane phospholipids. Restores the integrity of damaged nerve-cell membranes and acts as a growth factor for optic-nerve fibers in degenerative pathologies.</w:t>
      </w:r>
    </w:p>
    <w:p>
      <w:pPr>
        <w:spacing w:after="20"/>
      </w:pPr>
      <w:r>
        <w:rPr>
          <w:b/>
          <w:sz w:val="22"/>
        </w:rPr>
        <w:t xml:space="preserve">Vitamin B12</w:t>
      </w:r>
    </w:p>
    <w:p>
      <w:pPr>
        <w:spacing w:after="120"/>
      </w:pPr>
      <w:r>
        <w:rPr>
          <w:sz w:val="22"/>
        </w:rPr>
        <w:t xml:space="preserve">Restores myelination and regeneration of nerve fibers, promotes corneal re-epithelialization and protects cells from free radicals.</w:t>
      </w:r>
    </w:p>
    <w:p>
      <w:pPr>
        <w:spacing w:after="20"/>
      </w:pPr>
      <w:r>
        <w:rPr>
          <w:b/>
          <w:sz w:val="22"/>
        </w:rPr>
        <w:t xml:space="preserve">Sodium hyaluronate</w:t>
      </w:r>
    </w:p>
    <w:p>
      <w:pPr>
        <w:spacing w:after="120"/>
      </w:pPr>
      <w:r>
        <w:rPr>
          <w:sz w:val="22"/>
        </w:rPr>
        <w:t xml:space="preserve">Improves tear-film stability, keeps the active components on the eye surface and helps citicoline migrate into the eye's structures.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Glaucoma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Optic glaucomatous neuropathy, ischemic neuropathy.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Retinopathies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Diabetic retinopathy, macular degeneration, retinal changes.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Vision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High myopia and hyperopia, amblyopia, cataract.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After surgery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Surgical interventions on the anterior segment of the eye.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1 drop 2–3 times a day or as prescribed by a doctor. Recommended course — 2 months 3 times a year or 4 months twice a year. Wait 10–15 minutes before other ophthalmic products.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Hypersensitivity to the product's components.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Side effects</w:t>
      </w:r>
    </w:p>
    <w:p>
      <w:pPr>
        <w:spacing w:after="120"/>
      </w:pPr>
      <w:r>
        <w:rPr>
          <w:sz w:val="22"/>
        </w:rPr>
        <w:t xml:space="preserve">Temporary blurred vision is possible after instillation. In case of adverse reactions, stop use and consult a doctor.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Interactions</w:t>
      </w:r>
    </w:p>
    <w:p>
      <w:pPr>
        <w:spacing w:after="120"/>
      </w:pPr>
      <w:r>
        <w:rPr>
          <w:sz w:val="22"/>
        </w:rPr>
        <w:t xml:space="preserve">B12 is pharmacologically incompatible with ascorbic acid, heavy-metal salts, thiamine, pyridoxine and riboflavin.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 · shelf life</w:t>
      </w:r>
    </w:p>
    <w:p>
      <w:pPr>
        <w:spacing w:after="120"/>
      </w:pPr>
      <w:r>
        <w:rPr>
          <w:sz w:val="22"/>
        </w:rPr>
        <w:t xml:space="preserve">At no more than 25 °C. 2 years; 1 month after opening. Available without prescription.</w:t>
      </w:r>
    </w:p>
    <w:p>
      <w:pPr>
        <w:spacing w:after="120"/>
      </w:pPr>
      <w:r>
        <w:rPr>
          <w:sz w:val="18"/>
          <w:color w:val="6B7280"/>
        </w:rPr>
        <w:t xml:space="preserve">Medical device. Consultation with a specialist is recommended before use. Keep out of reach of children.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