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Tride</w:t>
      </w:r>
    </w:p>
    <w:p>
      <w:pPr>
        <w:spacing w:after="160"/>
      </w:pPr>
      <w:r>
        <w:rPr>
          <w:sz w:val="22"/>
          <w:color w:val="6B7280"/>
        </w:rPr>
        <w:t xml:space="preserve">Oral spray with vitamin D3. Convenient dosing for strong bones and immunity in children and adults.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Oral spray, 15 ml (125 doses).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dose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Cholecalciferol (vit. D3) — 500 IU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Calcium absorption</w:t>
      </w:r>
    </w:p>
    <w:p>
      <w:pPr>
        <w:spacing w:after="120"/>
      </w:pPr>
      <w:r>
        <w:rPr>
          <w:sz w:val="22"/>
        </w:rPr>
        <w:t xml:space="preserve">Ensures absorption of calcium and phosphorus, the key macronutrients for bone tissue. Needed for bone and ligament development and the health of skin, hair, nails and teeth.</w:t>
      </w:r>
    </w:p>
    <w:p>
      <w:pPr>
        <w:spacing w:after="20"/>
      </w:pPr>
      <w:r>
        <w:rPr>
          <w:b/>
          <w:sz w:val="22"/>
        </w:rPr>
        <w:t xml:space="preserve">Metabolism</w:t>
      </w:r>
    </w:p>
    <w:p>
      <w:pPr>
        <w:spacing w:after="120"/>
      </w:pPr>
      <w:r>
        <w:rPr>
          <w:sz w:val="22"/>
        </w:rPr>
        <w:t xml:space="preserve">Regulates metabolic processes in cells, supports blood clotting, improves carbohydrate absorption and prevents cholesterol plaque formation.</w:t>
      </w:r>
    </w:p>
    <w:p>
      <w:pPr>
        <w:spacing w:after="20"/>
      </w:pPr>
      <w:r>
        <w:rPr>
          <w:b/>
          <w:sz w:val="22"/>
        </w:rPr>
        <w:t xml:space="preserve">Immunity</w:t>
      </w:r>
    </w:p>
    <w:p>
      <w:pPr>
        <w:spacing w:after="120"/>
      </w:pPr>
      <w:r>
        <w:rPr>
          <w:sz w:val="22"/>
        </w:rPr>
        <w:t xml:space="preserve">Stimulates the immune system, helps fight viruses and bacteria and reduces the risk of autoimmune processes.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Bones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Normal development of bones and ligaments in children, musculoskeletal health in adults.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Immunity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Stimulates the immune system.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Nervous system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Increases nerve fiber sensitivity, supports the nervous system.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Muscle tone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Promotes muscle tone.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Taken orally. Children — 1 dose (one press, 0.12 ml) into the mouth once a day; adults — 1 dose twice a day with meals. Course: 1 month. May be repeated on a specialist's recommendation.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24 months. 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