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Urovelin</w:t>
      </w:r>
    </w:p>
    <w:p>
      <w:pPr>
        <w:spacing w:after="160"/>
      </w:pPr>
      <w:r>
        <w:rPr>
          <w:sz w:val="22"/>
          <w:color w:val="6B7280"/>
        </w:rPr>
        <w:t xml:space="preserve">Capsules with ginseng and cistanche extracts. Increased endurance, tone and improved male sexual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capsules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Ginseng root extract — 200 mg
                <w:br/>
                Cistanche extract — 270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Ginseng</w:t>
      </w:r>
    </w:p>
    <w:p>
      <w:pPr>
        <w:spacing w:after="120"/>
      </w:pPr>
      <w:r>
        <w:rPr>
          <w:sz w:val="22"/>
        </w:rPr>
        <w:t xml:space="preserve">One of the strongest adaptogens: stimulates the CNS, increases mental and physical performance, improves memory and concentration, supports immunity and raises testosterone levels.</w:t>
      </w:r>
    </w:p>
    <w:p>
      <w:pPr>
        <w:spacing w:after="20"/>
      </w:pPr>
      <w:r>
        <w:rPr>
          <w:b/>
          <w:sz w:val="22"/>
        </w:rPr>
        <w:t xml:space="preserve">Cistanche</w:t>
      </w:r>
    </w:p>
    <w:p>
      <w:pPr>
        <w:spacing w:after="120"/>
      </w:pPr>
      <w:r>
        <w:rPr>
          <w:sz w:val="22"/>
        </w:rPr>
        <w:t xml:space="preserve">A toning adaptogen: reduces fatigue, increases endurance, has antioxidant and immunomodulatory action, improves circulation and sexual function.</w:t>
      </w:r>
    </w:p>
    <w:p>
      <w:pPr>
        <w:spacing w:after="20"/>
      </w:pPr>
      <w:r>
        <w:rPr>
          <w:b/>
          <w:sz w:val="22"/>
        </w:rPr>
        <w:t xml:space="preserve">Synergy of components</w:t>
      </w:r>
    </w:p>
    <w:p>
      <w:pPr>
        <w:spacing w:after="120"/>
      </w:pPr>
      <w:r>
        <w:rPr>
          <w:sz w:val="22"/>
        </w:rPr>
        <w:t xml:space="preserve">Ginseng and cistanche raise testosterone levels and nitric oxide production, improving erectile function, potency and libido. The two components enhance each other's action.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Men's health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erectile function, increases libido and potency.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Endurance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Asthenic states, prolonged physical and mental load.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Performance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performance and the body's resistance.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Hypotonic neurocirculatory dystonia (as part of combined therapy).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Adults and those over 18 — 1 capsule 1–2 times a day.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breastfeeding, age under 18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Do not use after the expiry 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