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Viridin</w:t>
      </w:r>
    </w:p>
    <w:p>
      <w:pPr>
        <w:spacing w:after="160"/>
      </w:pPr>
      <w:r>
        <w:rPr>
          <w:sz w:val="22"/>
          <w:color w:val="6B7280"/>
        </w:rPr>
        <w:t xml:space="preserve">Oral drops — a herbal flavonoid complex. Immune support and protection against viral infections.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drops, 10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Liquid Viridin® extract (flavonoids ≥0.32 mg/ml, carboxylic acids ≥0.30 mg/ml) from tufted hair-grass and wood small-reed herbs (1:1)
                <w:br/>
                Ethanol 96%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Flavonoid complex</w:t>
      </w:r>
    </w:p>
    <w:p>
      <w:pPr>
        <w:spacing w:after="120"/>
      </w:pPr>
      <w:r>
        <w:rPr>
          <w:sz w:val="22"/>
        </w:rPr>
        <w:t xml:space="preserve">Bioactive compounds with antioxidant properties that support the body's physiological defenses and protect cell structures from free radicals.</w:t>
      </w:r>
    </w:p>
    <w:p>
      <w:pPr>
        <w:spacing w:after="20"/>
      </w:pPr>
      <w:r>
        <w:rPr>
          <w:b/>
          <w:sz w:val="22"/>
        </w:rPr>
        <w:t xml:space="preserve">Immunotropic action</w:t>
      </w:r>
    </w:p>
    <w:p>
      <w:pPr>
        <w:spacing w:after="120"/>
      </w:pPr>
      <w:r>
        <w:rPr>
          <w:sz w:val="22"/>
        </w:rPr>
        <w:t xml:space="preserve">Supports normal immune-system function, protects the upper respiratory mucosa and normalizes local immunity markers (lactoferrin, secretory IgA, lysozyme).</w:t>
      </w:r>
    </w:p>
    <w:p>
      <w:pPr>
        <w:spacing w:after="20"/>
      </w:pPr>
      <w:r>
        <w:rPr>
          <w:b/>
          <w:sz w:val="22"/>
        </w:rPr>
        <w:t xml:space="preserve">Fast absorption</w:t>
      </w:r>
    </w:p>
    <w:p>
      <w:pPr>
        <w:spacing w:after="120"/>
      </w:pPr>
      <w:r>
        <w:rPr>
          <w:sz w:val="22"/>
        </w:rPr>
        <w:t xml:space="preserve">Active substances are quickly absorbed into the blood, reaching peak concentration 20 minutes after intake. Oral bioavailability is 80%.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Herpes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Infections caused by herpes simplex viruses (types 1 and 2), herpes zoster and chickenpox.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Epstein-Barr virus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Acute and chronic forms of herpes type 4 and 5 (CMV) infections.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Flu &amp; ARVI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Prevention and complex use in influenza and acute respiratory viral infections.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HPV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As part of complex therapy for papillomavirus infections.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Shake before use. Add the required amount to water (1–2 tablespoons) and take 10–15 minutes before meals. For topical use, prepare a solution per the instructions. Detailed dosages by age and form of use are in the instructions.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 Gastric or duodenal ulcer.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Rarely — allergic reactions (rash, itching), isolated GI upset; with topical use — burning, itching, dryness.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Special instructions</w:t>
      </w:r>
    </w:p>
    <w:p>
      <w:pPr>
        <w:spacing w:after="120"/>
      </w:pPr>
      <w:r>
        <w:rPr>
          <w:sz w:val="22"/>
        </w:rPr>
        <w:t xml:space="preserve">A transient temperature rise up to 38 °C does not require stopping use. To prevent reinfection, simultaneous treatment of the partner is recommended.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 · dispensing</w:t>
      </w:r>
    </w:p>
    <w:p>
      <w:pPr>
        <w:spacing w:after="120"/>
      </w:pPr>
      <w:r>
        <w:rPr>
          <w:sz w:val="22"/>
        </w:rPr>
        <w:t xml:space="preserve">In a dry place protected from light, no more than 25 °C. 24 months.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HVARA SRL, Piazza IV Novembre 4, Milan, Italy.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