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Vitadetrim</w:t>
      </w:r>
    </w:p>
    <w:p>
      <w:pPr>
        <w:spacing w:after="160"/>
      </w:pPr>
      <w:r>
        <w:rPr>
          <w:sz w:val="22"/>
          <w:color w:val="6B7280"/>
        </w:rPr>
        <w:t xml:space="preserve">Oral spray with vitamin D3 and green tea extract. For growth, immunity and strong bones.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Liquid, 15 ml in polymer or glass spray bottles.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Cholecalciferol (vit. D3) — 4000 IU
                <w:br/>
                Green tea extract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D3</w:t>
      </w:r>
    </w:p>
    <w:p>
      <w:pPr>
        <w:spacing w:after="120"/>
      </w:pPr>
      <w:r>
        <w:rPr>
          <w:sz w:val="22"/>
        </w:rPr>
        <w:t xml:space="preserve">Regulates calcium and phosphorus metabolism, important for cell division, bone development, immunity, muscles and brain function. Promotes absorption of calcium and phosphorus.</w:t>
      </w:r>
    </w:p>
    <w:p>
      <w:pPr>
        <w:spacing w:after="20"/>
      </w:pPr>
      <w:r>
        <w:rPr>
          <w:b/>
          <w:sz w:val="22"/>
        </w:rPr>
        <w:t xml:space="preserve">Green tea extract</w:t>
      </w:r>
    </w:p>
    <w:p>
      <w:pPr>
        <w:spacing w:after="120"/>
      </w:pPr>
      <w:r>
        <w:rPr>
          <w:sz w:val="22"/>
        </w:rPr>
        <w:t xml:space="preserve">Contains polyphenols, vitamins and trace elements, benefits metabolism, the nervous and cardiovascular systems and strengthens vessel walls.</w:t>
      </w:r>
    </w:p>
    <w:p>
      <w:pPr>
        <w:spacing w:after="20"/>
      </w:pPr>
      <w:r>
        <w:rPr>
          <w:b/>
          <w:sz w:val="22"/>
        </w:rPr>
        <w:t xml:space="preserve">Overall action</w:t>
      </w:r>
    </w:p>
    <w:p>
      <w:pPr>
        <w:spacing w:after="120"/>
      </w:pPr>
      <w:r>
        <w:rPr>
          <w:sz w:val="22"/>
        </w:rPr>
        <w:t xml:space="preserve">Protects against chronic fatigue, supports psychological wellbeing under nervousness and promotes endurance and general strengthening.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Growth &amp; 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Growth and development of children, formation of skeleton and teeth.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Rickets 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risk of rickets.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the cardiovascular system.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Protection from fatigue, supports endurance.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Oral spray. Children over 1 year — 1 dose (400 IU) 1–2 times a day; children over 12 and adults — 2 doses (800 IU) 1–2 times a day with meals. Duration: 1–2 months.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