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Фортекс</w:t>
      </w:r>
    </w:p>
    <w:p>
      <w:pPr>
        <w:spacing w:after="160"/>
      </w:pPr>
      <w:r>
        <w:rPr>
          <w:sz w:val="22"/>
          <w:color w:val="6B7280"/>
        </w:rPr>
        <w:t xml:space="preserve">Комплекс для суставов и костей: глюкозамин, хондроитин, МСМ, кальций, магний и витамины K2/D3. Поддержка хрящевой ткани.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Порошок для приёма внутрь в саше-пакетиках по 5 г, №20.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саше (5 г)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Глюкозамина сульфат — 750 мг · МСМ — 500 мг
                <w:br/>
                Хондроитин сульфат — 600 мг · Кальция фосфат — 400 мг
                <w:br/>
                Магния бисглицинат — 100 мг · Вит. K2 — 100 мкг · Вит. D3 — 400 МЕ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Глюкозамин + Хондроитин + МСМ</w:t>
      </w:r>
    </w:p>
    <w:p>
      <w:pPr>
        <w:spacing w:after="120"/>
      </w:pPr>
      <w:r>
        <w:rPr>
          <w:sz w:val="22"/>
        </w:rPr>
        <w:t xml:space="preserve">Глюкозамин — субстрат для образования хряща и предшественник гликозаминогликанов. Хондроитин обеспечивает эластичность и упругость хряща. МСМ — источник органической серы, уменьшает боль и скованность в суставах.</w:t>
      </w:r>
    </w:p>
    <w:p>
      <w:pPr>
        <w:spacing w:after="20"/>
      </w:pPr>
      <w:r>
        <w:rPr>
          <w:b/>
          <w:sz w:val="22"/>
        </w:rPr>
        <w:t xml:space="preserve">Кальций и магний</w:t>
      </w:r>
    </w:p>
    <w:p>
      <w:pPr>
        <w:spacing w:after="120"/>
      </w:pPr>
      <w:r>
        <w:rPr>
          <w:sz w:val="22"/>
        </w:rPr>
        <w:t xml:space="preserve">Кальция фосфат поддерживает минеральную плотность костей и работу мышц. Магния бисглицинат — кофактор более 300 реакций, важен для скелета, мышц и нервной проводимости, обладает высокой биодоступностью.</w:t>
      </w:r>
    </w:p>
    <w:p>
      <w:pPr>
        <w:spacing w:after="20"/>
      </w:pPr>
      <w:r>
        <w:rPr>
          <w:b/>
          <w:sz w:val="22"/>
        </w:rPr>
        <w:t xml:space="preserve">Витамины K2 и D3</w:t>
      </w:r>
    </w:p>
    <w:p>
      <w:pPr>
        <w:spacing w:after="120"/>
      </w:pPr>
      <w:r>
        <w:rPr>
          <w:sz w:val="22"/>
        </w:rPr>
        <w:t xml:space="preserve">D3 усиливает всасывание кальция и регулирует обмен кальция и фосфора. K2 направляет кальций в костную матрицу, препятствуя его отложению в сосудах. Работают синергично для правильной минерализации костей.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Суставы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Остеоартрит и дегенеративно-дистрофические заболевания суставов и позвоночника.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Профилактика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Возрастные изменения костной и хрящевой ткани, периоды повышенной нагрузки на суставы.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Восстановление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восстановления костной ткани после травм и операций.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Кости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Профилактика и комплексная терапия остеопороза, восполнение дефицита витамина D.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Содержимое 1 саше растворить в стакане воды (150–200 мл), тщательно перемешать и принимать внутрь во время или сразу после еды по 1 саше 1–2 раза в сутки. Продолжительность курса — обычно 1–3 месяца, при необходимости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При беременности, кормлении грудью и в детском возрасте — после консультации со специалистом.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Возможны индивидуальные реакции повышенной чувствительности к компонентам. При появлении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При температуре не выше 25 °C,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Не использовать после истечения срока годности. Производитель: ООО «HVARA»,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