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Гаммалон Био</w:t>
      </w:r>
    </w:p>
    <w:p>
      <w:pPr>
        <w:spacing w:after="160"/>
      </w:pPr>
      <w:r>
        <w:rPr>
          <w:sz w:val="22"/>
          <w:color w:val="6B7280"/>
        </w:rPr>
        <w:t xml:space="preserve">Нейропротекторный комплекс с ГАМК, магнием и витаминами B6/B12. Поддержка нервной системы и функций мозга.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в пакетиках по 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пакетика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ГАМК — 500 мг · Магния бисглицинат — 200 мг
                <w:br/>
                Витамин B6 — 1000 мкг · Витамин B12 — 500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ГАМК</w:t>
      </w:r>
    </w:p>
    <w:p>
      <w:pPr>
        <w:spacing w:after="120"/>
      </w:pPr>
      <w:r>
        <w:rPr>
          <w:sz w:val="22"/>
        </w:rPr>
        <w:t xml:space="preserve">Один из основных регулирующих медиаторов ЦНС: снижает нейрональную возбудимость и оказывает мягкое гипотензивное действие.</w:t>
      </w:r>
    </w:p>
    <w:p>
      <w:pPr>
        <w:spacing w:after="20"/>
      </w:pPr>
      <w:r>
        <w:rPr>
          <w:b/>
          <w:sz w:val="22"/>
        </w:rPr>
        <w:t xml:space="preserve">Магний бисглицинат</w:t>
      </w:r>
    </w:p>
    <w:p>
      <w:pPr>
        <w:spacing w:after="120"/>
      </w:pPr>
      <w:r>
        <w:rPr>
          <w:sz w:val="22"/>
        </w:rPr>
        <w:t xml:space="preserve">Обеспечивает потенциал-зависимую блокаду NMDA-рецепторов, предотвращая избыточное поступление кальция в нейроны и их гибель вследствие эксайтотоксичности.</w:t>
      </w:r>
    </w:p>
    <w:p>
      <w:pPr>
        <w:spacing w:after="20"/>
      </w:pPr>
      <w:r>
        <w:rPr>
          <w:b/>
          <w:sz w:val="22"/>
        </w:rPr>
        <w:t xml:space="preserve">Витамины B6 и B12</w:t>
      </w:r>
    </w:p>
    <w:p>
      <w:pPr>
        <w:spacing w:after="120"/>
      </w:pPr>
      <w:r>
        <w:rPr>
          <w:sz w:val="22"/>
        </w:rPr>
        <w:t xml:space="preserve">B6 оптимизирует усвоение магния и синтез нейромедиаторов (триптофан→серотонин, глутамат→ГАМК). B12 способствует регенерации нервных волокон и поддерживает когнитивные функции через процессы метилирования.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Память и внимание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Ухудшение памяти, концентрации и умственной работоспособности.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Когнитивные нарушения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цереброваскулярной недостаточности и после черепно-мозговых травм.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Тревожность и сон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Повышенная тревожность, раздражительность и нарушения сна.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Неврологические осложнения при дефиците витаминов группы B.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Взрослым — по 1 пакетику 1 раз в сутки вечером после еды. Продолжительность приёма — 3 месяца. Перед применением рекомендуется проконсультироваться с врачом.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тяжёлая почечная недостаточность, болезнь Лебера, детский возраст, беременность и лактация.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При появлении побочных действий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проконсультироваться с врачом.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