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Гинобаланс</w:t>
      </w:r>
    </w:p>
    <w:p>
      <w:pPr>
        <w:spacing w:after="160"/>
      </w:pPr>
      <w:r>
        <w:rPr>
          <w:sz w:val="22"/>
          <w:color w:val="6B7280"/>
        </w:rPr>
        <w:t xml:space="preserve">Гель для приёма внутрь с мио- и D-хиро-инозитолом, магнием и витамином B6/B9. Для женского гормонального баланса.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Гель для приёма внутрь в стик-пакетах по 10 мл.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1 стика (10 мл)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Мио-инозитол — 1800 мг · D-хиро-инозитол — 50 мг
                <w:br/>
                Магний бисглицинат — 150 мг
                <w:br/>
                Витамин B6 — 5000 мкг · Метилфолат — 800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Мио-инозитол</w:t>
      </w:r>
    </w:p>
    <w:p>
      <w:pPr>
        <w:spacing w:after="120"/>
      </w:pPr>
      <w:r>
        <w:rPr>
          <w:sz w:val="22"/>
        </w:rPr>
        <w:t xml:space="preserve">Участвует в клеточных сигнальных процессах, регулирует чувствительность тканей к инсулину и обмен глюкозы. Поддерживает функцию яичников, регулярность цикла и нормальную овуляцию.</w:t>
      </w:r>
    </w:p>
    <w:p>
      <w:pPr>
        <w:spacing w:after="20"/>
      </w:pPr>
      <w:r>
        <w:rPr>
          <w:b/>
          <w:sz w:val="22"/>
        </w:rPr>
        <w:t xml:space="preserve">D-хиро-инозитол</w:t>
      </w:r>
    </w:p>
    <w:p>
      <w:pPr>
        <w:spacing w:after="120"/>
      </w:pPr>
      <w:r>
        <w:rPr>
          <w:sz w:val="22"/>
        </w:rPr>
        <w:t xml:space="preserve">Повышает чувствительность к инсулину, регулирует гормональный баланс и метаболические процессы, связанные с репродуктивным здоровьем, особенно при СПКЯ.</w:t>
      </w:r>
    </w:p>
    <w:p>
      <w:pPr>
        <w:spacing w:after="20"/>
      </w:pPr>
      <w:r>
        <w:rPr>
          <w:b/>
          <w:sz w:val="22"/>
        </w:rPr>
        <w:t xml:space="preserve">Магний, B6, метилфолат</w:t>
      </w:r>
    </w:p>
    <w:p>
      <w:pPr>
        <w:spacing w:after="120"/>
      </w:pPr>
      <w:r>
        <w:rPr>
          <w:sz w:val="22"/>
        </w:rPr>
        <w:t xml:space="preserve">Магний и B6 снижают стресс, ПМС и спазмы, поддерживают нервную систему; метилфолат (активная форма фолиевой кислоты) важен при подготовке к беременности.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Цикл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Поддержка регулярности менструального цикла и овуляции.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СПКЯ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При синдроме поликистозных яичников и инсулинорезистентности.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Репродуктивное здоровье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Подготовка к беременности, поддержка функции яичников.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Тонус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Снижение ПМС, стресса и нервного напряжения.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Принимать внутрь. Взрослым — по 1 стик-пакету 1–2 раза в сутки. Гель не разбавлять. Точную дозировку и продолжительность курса уточняйте в инструкции к препарату или у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Беременным и кормящим — по согласованию с врачом.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При появлении побочных действий следует прекратить применение и обратиться к врачу.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И.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