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Глицерин</w:t>
      </w:r>
    </w:p>
    <w:p>
      <w:pPr>
        <w:spacing w:after="160"/>
      </w:pPr>
      <w:r>
        <w:rPr>
          <w:sz w:val="22"/>
          <w:color w:val="6B7280"/>
        </w:rPr>
        <w:t xml:space="preserve">Глицерин (глицерол) для наружного применения. Смягчает и увлажняет кожу, защищает от сухости.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наружного применения, 90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Глицерол (глицерин).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Увлажнение</w:t>
      </w:r>
    </w:p>
    <w:p>
      <w:pPr>
        <w:spacing w:after="120"/>
      </w:pPr>
      <w:r>
        <w:rPr>
          <w:sz w:val="22"/>
        </w:rPr>
        <w:t xml:space="preserve">Глицерин — гигроскопичное вещество, притягивает и удерживает влагу в коже.</w:t>
      </w:r>
    </w:p>
    <w:p>
      <w:pPr>
        <w:spacing w:after="20"/>
      </w:pPr>
      <w:r>
        <w:rPr>
          <w:b/>
          <w:sz w:val="22"/>
        </w:rPr>
        <w:t xml:space="preserve">Смягчение</w:t>
      </w:r>
    </w:p>
    <w:p>
      <w:pPr>
        <w:spacing w:after="120"/>
      </w:pPr>
      <w:r>
        <w:rPr>
          <w:sz w:val="22"/>
        </w:rPr>
        <w:t xml:space="preserve">Смягчает огрубевшую кожу, устраняет шелушение и сухость.</w:t>
      </w:r>
    </w:p>
    <w:p>
      <w:pPr>
        <w:spacing w:after="20"/>
      </w:pPr>
      <w:r>
        <w:rPr>
          <w:b/>
          <w:sz w:val="22"/>
        </w:rPr>
        <w:t xml:space="preserve">Защита</w:t>
      </w:r>
    </w:p>
    <w:p>
      <w:pPr>
        <w:spacing w:after="120"/>
      </w:pPr>
      <w:r>
        <w:rPr>
          <w:sz w:val="22"/>
        </w:rPr>
        <w:t xml:space="preserve">Образует на коже защитную плёнку, предохраняющую от обветривания и потери влаги.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Сухость кожи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сухости и шелушении кожи.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Смягчение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Смягчение огрубевших участков.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Защита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Защита кожи рук и тела от обветривания.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Косметика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Косметический уход за кожей.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на чистую кожу.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чувствительность. Только для наружного применения.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индивидуальные реакции. При появлении прекратить применение.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защищённом от света месте, при температуре не выше 25 °C. После вскрытия использовать в течение 1 месяца.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Только для наружного применения. Перед применением ознакомьтесь с инструкцией.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