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Гопантевал</w:t>
      </w:r>
    </w:p>
    <w:p>
      <w:pPr>
        <w:spacing w:after="160"/>
      </w:pPr>
      <w:r>
        <w:rPr>
          <w:sz w:val="22"/>
          <w:color w:val="6B7280"/>
        </w:rPr>
        <w:t xml:space="preserve">Раствор для приёма внутрь на основе гопантеновой кислоты. Ноотропное средство для нервной системы и когнитивных функций.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Раствор для приёма внутрь, 100 мл во флаконе.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Активное вещество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Гопантеновая кислота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Гопантеновая кислота</w:t>
      </w:r>
    </w:p>
    <w:p>
      <w:pPr>
        <w:spacing w:after="120"/>
      </w:pPr>
      <w:r>
        <w:rPr>
          <w:sz w:val="22"/>
        </w:rPr>
        <w:t xml:space="preserve">Ноотропное средство, производное ГАМК. Сочетает мягкое стимулирующее и успокаивающее действие, улучшает обмен в нервных клетках и устойчивость мозга к нагрузкам.</w:t>
      </w:r>
    </w:p>
    <w:p>
      <w:pPr>
        <w:spacing w:after="20"/>
      </w:pPr>
      <w:r>
        <w:rPr>
          <w:b/>
          <w:sz w:val="22"/>
        </w:rPr>
        <w:t xml:space="preserve">Когнитивные функции</w:t>
      </w:r>
    </w:p>
    <w:p>
      <w:pPr>
        <w:spacing w:after="120"/>
      </w:pPr>
      <w:r>
        <w:rPr>
          <w:sz w:val="22"/>
        </w:rPr>
        <w:t xml:space="preserve">Поддерживает память, внимание и умственную работоспособность.</w:t>
      </w:r>
    </w:p>
    <w:p>
      <w:pPr>
        <w:spacing w:after="20"/>
      </w:pPr>
      <w:r>
        <w:rPr>
          <w:b/>
          <w:sz w:val="22"/>
        </w:rPr>
        <w:t xml:space="preserve">Снижение возбудимости</w:t>
      </w:r>
    </w:p>
    <w:p>
      <w:pPr>
        <w:spacing w:after="120"/>
      </w:pPr>
      <w:r>
        <w:rPr>
          <w:sz w:val="22"/>
        </w:rPr>
        <w:t xml:space="preserve">Уменьшает нервную возбудимость, способствует нормализации поведения и сна.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Когнитивные нарушения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органических поражениях мозга, после нейроинфекций и черепно-мозговых травм.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Перегрузки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психоэмоциональных перегрузках, снижении работоспособности, для концентрации и памяти.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У детей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задержке развития, ДЦП и гиперактивности с дефицитом внимания (СДВГ).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Мочеиспускание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нейрогенных расстройствах мочеиспускания, в т.ч. энурезе.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Принимать внутрь. Точную дозировку и продолжительность курса уточняйте в инструкции к препарату или у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</w:t>
      </w:r>
    </w:p>
    <w:p>
      <w:pPr>
        <w:spacing w:after="120"/>
      </w:pPr>
      <w:r>
        <w:rPr>
          <w:sz w:val="18"/>
          <w:color w:val="6B7280"/>
        </w:rPr>
        <w:t xml:space="preserve">Перед применением рекомендуется ознакомиться с инструкцией.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