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Инозипрайм W</w:t>
      </w:r>
    </w:p>
    <w:p>
      <w:pPr>
        <w:spacing w:after="160"/>
      </w:pPr>
      <w:r>
        <w:rPr>
          <w:sz w:val="22"/>
          <w:color w:val="6B7280"/>
        </w:rPr>
        <w:t xml:space="preserve">Научно обоснованный нутрицевтик для женского здоровья. 10 компонентов для гормонального баланса, фертильности и метаболизма.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приготовления раствора, 30 саше. 1 саше = 1 суточная доза (6 г).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саше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Мио-инозитол — 1000 мг · D-хиро-инозитол — 100 мг
                <w:br/>
                Мака — 300 мг · Ресвератрол — 110 мг · Вит. E — 20 мг
                <w:br/>
                Вит. B6 — 120 мг · Хром пиколинат — 200 мкг
                <w:br/>
                Фолат (5-MTHF) — 2,6 г · Вит. D3 — 400 мкг (21 мкг)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Комплекс инозитолов (Myo + D-Chiro)</w:t>
      </w:r>
    </w:p>
    <w:p>
      <w:pPr>
        <w:spacing w:after="120"/>
      </w:pPr>
      <w:r>
        <w:rPr>
          <w:sz w:val="22"/>
        </w:rPr>
        <w:t xml:space="preserve">Регулирует углеводный обмен, повышает чувствительность к инсулину, нормализует соотношение ЛГ/ФСГ, восстанавливает функцию яичников и овуляцию, улучшает качество ооцитов и снижает оксидативный стресс.</w:t>
      </w:r>
    </w:p>
    <w:p>
      <w:pPr>
        <w:spacing w:after="20"/>
      </w:pPr>
      <w:r>
        <w:rPr>
          <w:b/>
          <w:sz w:val="22"/>
        </w:rPr>
        <w:t xml:space="preserve">NAC + L-карнитин</w:t>
      </w:r>
    </w:p>
    <w:p>
      <w:pPr>
        <w:spacing w:after="120"/>
      </w:pPr>
      <w:r>
        <w:rPr>
          <w:sz w:val="22"/>
        </w:rPr>
        <w:t xml:space="preserve">Антиоксидантно-детоксикационная система: NAC — предшественник глутатиона, снижает воспаление, улучшает овуляцию; L-карнитин транспортирует жирные кислоты в митохондрии и улучшает энергообмен яичников.</w:t>
      </w:r>
    </w:p>
    <w:p>
      <w:pPr>
        <w:spacing w:after="20"/>
      </w:pPr>
      <w:r>
        <w:rPr>
          <w:b/>
          <w:sz w:val="22"/>
        </w:rPr>
        <w:t xml:space="preserve">Витамины и минералы</w:t>
      </w:r>
    </w:p>
    <w:p>
      <w:pPr>
        <w:spacing w:after="120"/>
      </w:pPr>
      <w:r>
        <w:rPr>
          <w:sz w:val="22"/>
        </w:rPr>
        <w:t xml:space="preserve">Магний бисглицинат и витамин D3 поддерживают нервную систему, иммунитет и гормональный баланс; метилфолат и B12 снижают гомоцистеин; хром и цинк улучшают толерантность к глюкозе и фолликулогенез.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СПКЯ и метаболизм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Синдром поликистозных яичников, инсулинорезистентность, метаболический синдром.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Менструальный цикл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Олиго-, аменорея, ановуляция, гормональный дисбаланс ЛГ/ФСГ.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Фертильность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Субфертильность, прегравидарная подготовка, подготовка к ЭКО/ВРТ.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Все периоды жизни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Нутритивная поддержка, в том числе после родов и в менопаузе.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одного саше (6 г) растворить в 330 мл воды и принимать внутрь 1 раз в день. Курс приёма — по рекомендации специалиста. Вскрытое саше использовать сразу, не хранить.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I триместр беременности (только по назначению врача), тяжёлая почечная и печёночная недостаточность, дети до 12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Перед приёмом проконсультируйтесь с гинекологом или эндокринологом. При сахарном диабете обязателен контроль гликемии. Уведомите врача о приёме метформина, инсулина, гормональных препаратов.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сухом и защищённом от света месте.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Не заменяет медикаментозное лечение. Беременность и лактация — только под медицинским наблюдением. Производитель: ООО «HVARA», Республика Узбекистан, Хорезмская обл., г. Ургенч, ул. И. Дусов, д. 117. Произведено по заказу «HVARA» SRL, Milano, Italy.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