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40"/>
      </w:pPr>
      <w:r>
        <w:rPr>
          <w:b/>
          <w:sz w:val="36"/>
          <w:color w:val="1F2937"/>
        </w:rPr>
        <w:t xml:space="preserve">Betamaks</w:t>
      </w:r>
    </w:p>
    <w:p>
      <w:pPr>
        <w:spacing w:after="160"/>
      </w:pPr>
      <w:r>
        <w:rPr>
          <w:sz w:val="22"/>
          <w:color w:val="6B7280"/>
        </w:rPr>
        <w:t xml:space="preserve">Soluzione orale — un complesso di macro- e microelementi. Per la prevenzione e la correzione del metabolismo minerale.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Formato e composizione</w:t>
      </w:r>
    </w:p>
    <w:tbl>
      <w:tblPr>
        <w:tblW w:w="0" w:type="auto"/>
        <w:tblBorders>
          <w:top w:val="single" w:sz="4" w:color="D9A87E"/>
          <w:left w:val="single" w:sz="4" w:color="D9A87E"/>
          <w:bottom w:val="single" w:sz="4" w:color="D9A87E"/>
          <w:right w:val="single" w:sz="4" w:color="D9A87E"/>
          <w:insideH w:val="single" w:sz="4" w:color="D9A87E"/>
          <w:insideV w:val="single" w:sz="4" w:color="D9A87E"/>
        </w:tblBorders>
      </w:tblPr>
      <w:tblGrid>
        <w:gridCol w:w="3200"/>
        <w:gridCol w:w="6400"/>
      </w:tblGrid>
      <w:tr>
        <w:tc>
          <w:tcPr>
            <w:tcW w:w="3200" w:type="dxa"/>
            <w:shd w:val="clear" w:fill="FBE9D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Formato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Soluzione orale, 90 ml.</w:t>
            </w:r>
          </w:p>
        </w:tc>
      </w:tr>
      <w:tr>
        <w:tc>
          <w:tcPr>
            <w:tcW w:w="3200" w:type="dxa"/>
            <w:shd w:val="clear" w:fill="FDEAD9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Destinazione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Prevenzione e correzione dei disturbi del metabolismo minerale e della carenza di macro-/microelementi.</w:t>
            </w:r>
          </w:p>
        </w:tc>
      </w:tr>
    </w:tbl>
    <w:p>
      <w:pPr>
        <w:spacing w:after="60"/>
      </w:pPr>
      <w:r>
        <w:rPr>
          <w:sz w:val="22"/>
        </w:rPr>
        <w:t xml:space="preserve"/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Proprietà dei principi attivi</w:t>
      </w:r>
    </w:p>
    <w:p>
      <w:pPr>
        <w:spacing w:after="20"/>
      </w:pPr>
      <w:r>
        <w:rPr>
          <w:b/>
          <w:sz w:val="22"/>
        </w:rPr>
        <w:t xml:space="preserve">Macroelementi</w:t>
      </w:r>
    </w:p>
    <w:p>
      <w:pPr>
        <w:spacing w:after="120"/>
      </w:pPr>
      <w:r>
        <w:rPr>
          <w:sz w:val="22"/>
        </w:rPr>
        <w:t xml:space="preserve">Un complesso di minerali in forma di sali facilmente assorbibili sostiene il metabolismo minerale.</w:t>
      </w:r>
    </w:p>
    <w:p>
      <w:pPr>
        <w:spacing w:after="20"/>
      </w:pPr>
      <w:r>
        <w:rPr>
          <w:b/>
          <w:sz w:val="22"/>
        </w:rPr>
        <w:t xml:space="preserve">Microelementi</w:t>
      </w:r>
    </w:p>
    <w:p>
      <w:pPr>
        <w:spacing w:after="120"/>
      </w:pPr>
      <w:r>
        <w:rPr>
          <w:sz w:val="22"/>
        </w:rPr>
        <w:t xml:space="preserve">Reintegrano la carenza di importanti oligoelementi nell'organismo.</w:t>
      </w:r>
    </w:p>
    <w:p>
      <w:pPr>
        <w:spacing w:after="20"/>
      </w:pPr>
      <w:r>
        <w:rPr>
          <w:b/>
          <w:sz w:val="22"/>
        </w:rPr>
        <w:t xml:space="preserve">Equilibrio minerale</w:t>
      </w:r>
    </w:p>
    <w:p>
      <w:pPr>
        <w:spacing w:after="120"/>
      </w:pPr>
      <w:r>
        <w:rPr>
          <w:sz w:val="22"/>
        </w:rPr>
        <w:t xml:space="preserve">Aiuta a mantenere un normale metabolismo minerale.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Indicazioni</w:t>
      </w:r>
    </w:p>
    <w:tbl>
      <w:tblPr>
        <w:tblW w:w="0" w:type="auto"/>
        <w:tblBorders>
          <w:top w:val="single" w:sz="4" w:color="D9A87E"/>
          <w:left w:val="single" w:sz="4" w:color="D9A87E"/>
          <w:bottom w:val="single" w:sz="4" w:color="D9A87E"/>
          <w:right w:val="single" w:sz="4" w:color="D9A87E"/>
          <w:insideH w:val="single" w:sz="4" w:color="D9A87E"/>
          <w:insideV w:val="single" w:sz="4" w:color="D9A87E"/>
        </w:tblBorders>
      </w:tblPr>
      <w:tblGrid>
        <w:gridCol w:w="3200"/>
        <w:gridCol w:w="6400"/>
      </w:tblGrid>
      <w:tr>
        <w:tc>
          <w:tcPr>
            <w:tcW w:w="3200" w:type="dxa"/>
            <w:shd w:val="clear" w:fill="FBE9D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Metabolismo minerale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Prevenzione e correzione dei disturbi del metabolismo minerale.</w:t>
            </w:r>
          </w:p>
        </w:tc>
      </w:tr>
      <w:tr>
        <w:tc>
          <w:tcPr>
            <w:tcW w:w="3200" w:type="dxa"/>
            <w:shd w:val="clear" w:fill="FDEAD9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Carenza di elementi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Reintegro della carenza di macro- e microelementi.</w:t>
            </w:r>
          </w:p>
        </w:tc>
      </w:tr>
      <w:tr>
        <w:tc>
          <w:tcPr>
            <w:tcW w:w="3200" w:type="dxa"/>
            <w:shd w:val="clear" w:fill="FBE9D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Equilibrio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Mantenimento dell'equilibrio minerale.</w:t>
            </w:r>
          </w:p>
        </w:tc>
      </w:tr>
      <w:tr>
        <w:tc>
          <w:tcPr>
            <w:tcW w:w="3200" w:type="dxa"/>
            <w:shd w:val="clear" w:fill="FDEAD9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b/>
                <w:sz w:val="20"/>
                <w:color w:val="C2410C"/>
              </w:rPr>
              <w:t xml:space="preserve">Prevenzione</w:t>
            </w:r>
          </w:p>
        </w:tc>
        <w:tc>
          <w:tcPr>
            <w:tcW w:w="6400" w:type="dxa"/>
            <w:tcMar>
              <w:top w:w="36" w:type="dxa"/>
              <w:bottom w:w="36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sz w:val="20"/>
              </w:rPr>
              <w:t xml:space="preserve">Uso preventivo quando aumenta il fabbisogno di minerali.</w:t>
            </w:r>
          </w:p>
        </w:tc>
      </w:tr>
    </w:tbl>
    <w:p>
      <w:pPr>
        <w:spacing w:after="60"/>
      </w:pPr>
      <w:r>
        <w:rPr>
          <w:sz w:val="22"/>
        </w:rPr>
        <w:t xml:space="preserve"/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Modalità d'uso e dosi</w:t>
      </w:r>
    </w:p>
    <w:p>
      <w:pPr>
        <w:spacing w:after="120"/>
      </w:pPr>
      <w:r>
        <w:rPr>
          <w:b/>
          <w:sz w:val="22"/>
        </w:rPr>
        <w:t xml:space="preserve">Assumere per via orale secondo le indicazioni del foglietto all'interno della confezione. Verificare il dosaggio esatto nel foglietto illustrativo o con uno specialista.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Controindicazioni</w:t>
      </w:r>
    </w:p>
    <w:p>
      <w:pPr>
        <w:spacing w:after="120"/>
      </w:pPr>
      <w:r>
        <w:rPr>
          <w:sz w:val="22"/>
        </w:rPr>
        <w:t xml:space="preserve">Ipersensibilità ai componenti.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Effetti collaterali</w:t>
      </w:r>
    </w:p>
    <w:p>
      <w:pPr>
        <w:spacing w:after="120"/>
      </w:pPr>
      <w:r>
        <w:rPr>
          <w:sz w:val="22"/>
        </w:rPr>
        <w:t xml:space="preserve">In caso di effetti collaterali, interrompere l'uso e consultare uno specialista.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Conservazione</w:t>
      </w:r>
    </w:p>
    <w:p>
      <w:pPr>
        <w:spacing w:after="120"/>
      </w:pPr>
      <w:r>
        <w:rPr>
          <w:sz w:val="22"/>
        </w:rPr>
        <w:t xml:space="preserve">In luogo al riparo dalla luce, da 5 a 25 °C. Tenere fuori dalla portata dei bambini.</w:t>
      </w:r>
    </w:p>
    <w:p>
      <w:pPr>
        <w:spacing w:before="220" w:after="120"/>
        <w:pBdr>
          <w:bottom w:val="single" w:sz="12" w:space="2" w:color="E8740C"/>
        </w:pBdr>
      </w:pPr>
      <w:r>
        <w:rPr>
          <w:b/>
          <w:sz w:val="26"/>
          <w:color w:val="C2410C"/>
        </w:rPr>
        <w:t xml:space="preserve">Vendita</w:t>
      </w:r>
    </w:p>
    <w:p>
      <w:pPr>
        <w:spacing w:after="120"/>
      </w:pPr>
      <w:r>
        <w:rPr>
          <w:sz w:val="22"/>
        </w:rPr>
        <w:t xml:space="preserve">Non è un medicinale. Disponibile senza ricetta.</w:t>
      </w:r>
    </w:p>
    <w:p>
      <w:pPr>
        <w:spacing w:after="120"/>
      </w:pPr>
      <w:r>
        <w:rPr>
          <w:sz w:val="18"/>
          <w:color w:val="6B7280"/>
        </w:rPr>
        <w:t xml:space="preserve">Non è un medicinale. Leggere le istruzioni prima dell'uso. Produttore: LLC HVARA, Repubblica dell'Uzbekistan.</w:t>
      </w:r>
    </w:p>
    <w:sectPr>
      <w:pgSz w:w="11906" w:h="16838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 w:cs="Calibri"/>
        <w:sz w:val="22"/>
      </w:rPr>
    </w:rPrDefault>
  </w:docDefaults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/Relationships>
</file>