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Bioton</w:t>
      </w:r>
    </w:p>
    <w:p>
      <w:pPr>
        <w:spacing w:after="160"/>
      </w:pPr>
      <w:r>
        <w:rPr>
          <w:sz w:val="22"/>
          <w:color w:val="6B7280"/>
        </w:rPr>
        <w:t xml:space="preserve">Capsule con serratiopeptidasi 10 mg. Azione antinfiammatoria e antiedematosa; facilita l'eliminazione del muco.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 orali, 30 per confezione.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capsula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Serratiopeptidasi — 10 mg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Azione antinfiammatoria</w:t>
      </w:r>
    </w:p>
    <w:p>
      <w:pPr>
        <w:spacing w:after="120"/>
      </w:pPr>
      <w:r>
        <w:rPr>
          <w:sz w:val="22"/>
        </w:rPr>
        <w:t xml:space="preserve">Riduce l'infiammazione e controlla la permeabilità capillare idrolizzando bradichinina, istamina e serotonina.</w:t>
      </w:r>
    </w:p>
    <w:p>
      <w:pPr>
        <w:spacing w:after="20"/>
      </w:pPr>
      <w:r>
        <w:rPr>
          <w:b/>
          <w:sz w:val="22"/>
        </w:rPr>
        <w:t xml:space="preserve">Antiedematoso e analgesico</w:t>
      </w:r>
    </w:p>
    <w:p>
      <w:pPr>
        <w:spacing w:after="120"/>
      </w:pPr>
      <w:r>
        <w:rPr>
          <w:sz w:val="22"/>
        </w:rPr>
        <w:t xml:space="preserve">Riduce gonfiore e dolore bloccando il rilascio di amine algogene dai tessuti infiammati.</w:t>
      </w:r>
    </w:p>
    <w:p>
      <w:pPr>
        <w:spacing w:after="20"/>
      </w:pPr>
      <w:r>
        <w:rPr>
          <w:b/>
          <w:sz w:val="22"/>
        </w:rPr>
        <w:t xml:space="preserve">Fluidificazione del muco</w:t>
      </w:r>
    </w:p>
    <w:p>
      <w:pPr>
        <w:spacing w:after="120"/>
      </w:pPr>
      <w:r>
        <w:rPr>
          <w:sz w:val="22"/>
        </w:rPr>
        <w:t xml:space="preserve">Tramite la proteolisi delle proteine del muco ne migliora la reologia e ne facilita l'eliminazione; accelera la penetrazione degli antibiotici nel sito dell'infiammazione.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Chirurgia e traumi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Distorsioni e rotture dei legamenti, fratture, lussazioni, gonfiore post-operatorio.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Vie respiratorie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Riduce la viscosità del muco e ne facilita l'eliminazione.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ORL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Facilita l'eliminazione delle secrezioni dei seni paranasali.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Pelle e altro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Dermatosi infiammatorie acute, ematomi, ingorgo mammario.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Adulti — 1 capsula 2–3 volte al giorno dopo i pasti. Deglutire la capsula intera con un bicchiere d'acqua. Dose massima giornaliera — 30 mg. La dose e la durata del ciclo sono stabilite individualmente dal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alla serratiopeptidasi o ai componenti; disturbi della coagulazione; gravidanza, allattamento; non per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Possibili dispepsia, reazioni cutanee, epistassi, reazioni di ipersensibilità. In tal caso,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Avvertenze speciali</w:t>
      </w:r>
    </w:p>
    <w:p>
      <w:pPr>
        <w:spacing w:after="120"/>
      </w:pPr>
      <w:r>
        <w:rPr>
          <w:sz w:val="22"/>
        </w:rPr>
        <w:t xml:space="preserve">Usare con cautela in caso di rischio di sanguinamento, uso di anticoagulanti, gravi malattie epatiche o renali. Potenzia l'effetto degli anticoagulanti.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 · scadenza</w:t>
      </w:r>
    </w:p>
    <w:p>
      <w:pPr>
        <w:spacing w:after="120"/>
      </w:pPr>
      <w:r>
        <w:rPr>
          <w:sz w:val="22"/>
        </w:rPr>
        <w:t xml:space="preserve">A non più di 25 °C. 24 mesi.</w:t>
      </w:r>
    </w:p>
    <w:p>
      <w:pPr>
        <w:spacing w:after="120"/>
      </w:pPr>
      <w:r>
        <w:rPr>
          <w:sz w:val="18"/>
          <w:color w:val="6B7280"/>
        </w:rPr>
        <w:t xml:space="preserve">È necessaria la consultazione di un medico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