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Dimefertin</w:t>
      </w:r>
    </w:p>
    <w:p>
      <w:pPr>
        <w:spacing w:after="160"/>
      </w:pPr>
      <w:r>
        <w:rPr>
          <w:sz w:val="22"/>
          <w:color w:val="6B7280"/>
        </w:rPr>
        <w:t xml:space="preserve">Un gel orale con mio- e D-chiro-inositolo. Per normalizzare l'equilibrio ormonale femminile e maschile e la vitalità generale.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Gel orale (10 ml per stick), n.30.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stick (10 ml)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Mio-inositolo — 2000 mg · D-chiro-inositolo — 50 mg
                <w:br/>
                Magnesio bisglicinato — 150 mg · Piridossina (B6) — 5 mg
                <w:br/>
                Metilfolato — 0,5 mg · Selenometionina — 125 mcg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Mio-inositolo (B8)</w:t>
      </w:r>
    </w:p>
    <w:p>
      <w:pPr>
        <w:spacing w:after="120"/>
      </w:pPr>
      <w:r>
        <w:rPr>
          <w:sz w:val="22"/>
        </w:rPr>
        <w:t xml:space="preserve">Sostiene la funzione dei recettori degli ormoni sessuali e dell'insulina, normalizza i livelli di androgeni e prolattina, regola il ciclo mestruale e la maturazione dell'ovocita e agisce come antagonista dell'insulino-resistenza.</w:t>
      </w:r>
    </w:p>
    <w:p>
      <w:pPr>
        <w:spacing w:after="20"/>
      </w:pPr>
      <w:r>
        <w:rPr>
          <w:b/>
          <w:sz w:val="22"/>
        </w:rPr>
        <w:t xml:space="preserve">D-chiro-inositolo</w:t>
      </w:r>
    </w:p>
    <w:p>
      <w:pPr>
        <w:spacing w:after="120"/>
      </w:pPr>
      <w:r>
        <w:rPr>
          <w:sz w:val="22"/>
        </w:rPr>
        <w:t xml:space="preserve">Aumenta la sensibilità all'insulina, migliora l'ovulazione nella PCOS, regola l'equilibrio ormonale e il metabolismo lipidico epatico e ha effetti antiossidanti e antinfiammatori.</w:t>
      </w:r>
    </w:p>
    <w:p>
      <w:pPr>
        <w:spacing w:after="20"/>
      </w:pPr>
      <w:r>
        <w:rPr>
          <w:b/>
          <w:sz w:val="22"/>
        </w:rPr>
        <w:t xml:space="preserve">Magnesio, B6, B9, selenio</w:t>
      </w:r>
    </w:p>
    <w:p>
      <w:pPr>
        <w:spacing w:after="120"/>
      </w:pPr>
      <w:r>
        <w:rPr>
          <w:sz w:val="22"/>
        </w:rPr>
        <w:t xml:space="preserve">Magnesio e B6 riducono stress, PMS e crampi e sostengono il sistema nervoso; l'acido folico è importante nella pianificazione della gravidanza; il selenio sostiene la funzione tiroidea.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Salute femminile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Normalizzazione del ciclo in amenorrea, oligomenorrea, anovulazione, preparazione alla gravidanza, PCOS.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Salute maschile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Miglioramento di numero, qualità e motilità degli spermatozoi, equilibrio ormonale.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Metabolismo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sindrome metabolica e insulino-resistenza.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Vitalità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Riduzione dell'ansia, sostegno al sistema nervoso e all'energia.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Assumere per via orale. Adulti — 1 bustina stick 1–2 volte al giorno durante i pasti. Non diluire il gel. Durata: 30 giorni. Si può iniziare in qualsiasi giorno del ciclo. Ripetibile su consiglio dello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componenti, bambini sotto i 12 anni. Donne in gravidanza e allattamento — previo accordo con il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superare le dosi raccomandate. Prodotto su ordine per HVARA SRL, Milano, Italia.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