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Drolocit Bio</w:t>
      </w:r>
    </w:p>
    <w:p>
      <w:pPr>
        <w:spacing w:after="160"/>
      </w:pPr>
      <w:r>
        <w:rPr>
          <w:sz w:val="22"/>
          <w:color w:val="6B7280"/>
        </w:rPr>
        <w:t xml:space="preserve">Soluzione orale con citicolina e vitamina B12. Un nootropico per il recupero del sistema nervoso e la funzione cognitiva.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Soluzione orale, flacone da 50 ml.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 per 5 ml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Citicolina — 500 mg
                <w:br/>
                Vitamina B12 (metilcobalamina) — 500 mcg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Citicolina</w:t>
      </w:r>
    </w:p>
    <w:p>
      <w:pPr>
        <w:spacing w:after="120"/>
      </w:pPr>
      <w:r>
        <w:rPr>
          <w:sz w:val="22"/>
        </w:rPr>
        <w:t xml:space="preserve">Aumenta la produzione di fosfolipidi nel cervello, ripristina le membrane delle cellule cerebrali e rafforza le connessioni tra le cellule nervose. Uno dei nootropici più efficaci: sostiene memoria, attenzione e concentrazione.</w:t>
      </w:r>
    </w:p>
    <w:p>
      <w:pPr>
        <w:spacing w:after="20"/>
      </w:pPr>
      <w:r>
        <w:rPr>
          <w:b/>
          <w:sz w:val="22"/>
        </w:rPr>
        <w:t xml:space="preserve">Vitamina B12 (metilcobalamina)</w:t>
      </w:r>
    </w:p>
    <w:p>
      <w:pPr>
        <w:spacing w:after="120"/>
      </w:pPr>
      <w:r>
        <w:rPr>
          <w:sz w:val="22"/>
        </w:rPr>
        <w:t xml:space="preserve">Partecipa all'ematopoiesi, alla sintesi di DNA e proteine, al recupero delle fibre nervose e alla conduzione degli impulsi nervosi, e riduce la debolezza neurologica.</w:t>
      </w:r>
    </w:p>
    <w:p>
      <w:pPr>
        <w:spacing w:after="20"/>
      </w:pPr>
      <w:r>
        <w:rPr>
          <w:b/>
          <w:sz w:val="22"/>
        </w:rPr>
        <w:t xml:space="preserve">Azione combinata</w:t>
      </w:r>
    </w:p>
    <w:p>
      <w:pPr>
        <w:spacing w:after="120"/>
      </w:pPr>
      <w:r>
        <w:rPr>
          <w:sz w:val="22"/>
        </w:rPr>
        <w:t xml:space="preserve">Favorisce il normale metabolismo energetico, sostiene la funzione cognitiva, riduce la stanchezza e protegge la funzione cerebrale.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Dopo l'ictus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Disturbi neurologici e cognitivi associati all'ictus.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Dopo traumi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Disturbi associati a traumi cranici.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Memoria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Problemi di memoria legati all'età, ridotta concentrazione.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Sistema nervoso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Recupero delle fibre nervose, protezione della funzione cerebrale.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Per via orale, durante o subito dopo i pasti, dopo aver agitato. Bambini — 1 ml 2–3 volte al giorno; adulti — 5 ml 2–3 volte al giorno. Durata: da 1,5 a 3 mesi a seconda delle condizioni. Le dosi possono essere modificate dal medico.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Intolleranza individuale ai componenti. Gravidanza e allattamento — solo su consiglio dello specialista.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Raramente — reazioni allergiche, disturbi digestivi. In tal caso interrompere l'uso e consultare uno specialista.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In luogo asciutto e al riparo dalla luce, a non più di 25 °C. Tenere fuori dalla portata dei bambini.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Scadenza · vendita</w:t>
      </w:r>
    </w:p>
    <w:p>
      <w:pPr>
        <w:spacing w:after="120"/>
      </w:pPr>
      <w:r>
        <w:rPr>
          <w:sz w:val="22"/>
        </w:rPr>
        <w:t xml:space="preserve">24 mesi. Disponibile senza ricetta. Integratore alimentare, non è un medicinale.</w:t>
      </w:r>
    </w:p>
    <w:p>
      <w:pPr>
        <w:spacing w:after="120"/>
      </w:pPr>
      <w:r>
        <w:rPr>
          <w:sz w:val="18"/>
          <w:color w:val="6B7280"/>
        </w:rPr>
        <w:t xml:space="preserve">Integratore alimentare. Non è un medicinale. Si raccomanda di consultare uno specialista prima dell'uso. Non superare le dosi raccomandate. Produttore: LLC HVARA, Repubblica dell'Uzbekistan, regione di Khorezm, Urgench, Via Dusov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