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Forteks</w:t>
      </w:r>
    </w:p>
    <w:p>
      <w:pPr>
        <w:spacing w:after="160"/>
      </w:pPr>
      <w:r>
        <w:rPr>
          <w:sz w:val="22"/>
          <w:color w:val="6B7280"/>
        </w:rPr>
        <w:t xml:space="preserve">Un complesso per articolazioni e ossa: glucosamina, condroitina, MSM, calcio, magnesio e vitamine K2/D3. Sostegno della cartilagine.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Polvere per uso orale in bustine da 5 g, n.20.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bustina (5 g)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Glucosamina solfato — 750 mg · MSM — 500 mg
                <w:br/>
                Condroitina solfato — 600 mg · Fosfato di calcio — 400 mg
                <w:br/>
                Magnesio bisglicinato — 100 mg · Vit. K2 — 100 mcg · Vit. D3 — 400 UI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Glucosamina + Condroitina + MSM</w:t>
      </w:r>
    </w:p>
    <w:p>
      <w:pPr>
        <w:spacing w:after="120"/>
      </w:pPr>
      <w:r>
        <w:rPr>
          <w:sz w:val="22"/>
        </w:rPr>
        <w:t xml:space="preserve">La glucosamina è un substrato per la formazione della cartilagine e un precursore dei glicosaminoglicani. La condroitina fornisce elasticità e resilienza alla cartilagine. L'MSM è una fonte di zolfo organico, riduce dolore e rigidità articolare.</w:t>
      </w:r>
    </w:p>
    <w:p>
      <w:pPr>
        <w:spacing w:after="20"/>
      </w:pPr>
      <w:r>
        <w:rPr>
          <w:b/>
          <w:sz w:val="22"/>
        </w:rPr>
        <w:t xml:space="preserve">Calcio e magnesio</w:t>
      </w:r>
    </w:p>
    <w:p>
      <w:pPr>
        <w:spacing w:after="120"/>
      </w:pPr>
      <w:r>
        <w:rPr>
          <w:sz w:val="22"/>
        </w:rPr>
        <w:t xml:space="preserve">Il fosfato di calcio sostiene la densità minerale ossea e la funzione muscolare. Il magnesio bisglicinato è cofattore di oltre 300 reazioni, importante per scheletro, muscoli e conduzione nervosa, con elevata biodisponibilità.</w:t>
      </w:r>
    </w:p>
    <w:p>
      <w:pPr>
        <w:spacing w:after="20"/>
      </w:pPr>
      <w:r>
        <w:rPr>
          <w:b/>
          <w:sz w:val="22"/>
        </w:rPr>
        <w:t xml:space="preserve">Vitamine K2 e D3</w:t>
      </w:r>
    </w:p>
    <w:p>
      <w:pPr>
        <w:spacing w:after="120"/>
      </w:pPr>
      <w:r>
        <w:rPr>
          <w:sz w:val="22"/>
        </w:rPr>
        <w:t xml:space="preserve">La D3 potenzia l'assorbimento del calcio e regola il metabolismo di calcio e fosforo. La K2 indirizza il calcio nella matrice ossea, prevenendone il deposito nei vasi. Agiscono in sinergia per una corretta mineralizzazione ossea.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Articolazioni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Osteoartrite e malattie degenerative-distrofiche di articolazioni e colonna.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Prevenzione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Cambiamenti legati all'età di ossa e cartilagine, periodi di maggiore carico articolare.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Recupero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Sostegno al recupero osseo dopo traumi e interventi.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Ossa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Prevenzione e terapia combinata dell'osteoporosi, reintegro della carenza di vitamina D.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Sciogliere il contenuto di 1 bustina in un bicchiere d'acqua (150–200 ml), mescolare bene e assumere per via orale durante o subito dopo i pasti, 1 bustina 1–2 volte al giorno. Ciclo: di solito 1–3 mesi, ripetibile.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Intolleranza individuale ai componenti. In gravidanza, allattamento e nell'infanzia — dopo aver consultato uno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Sono possibili reazioni individuali di ipersensibilità ai componenti. In tal caso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A non più di 25 °C,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Non usare dopo la data di scadenza.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