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Ginobalance</w:t>
      </w:r>
    </w:p>
    <w:p>
      <w:pPr>
        <w:spacing w:after="160"/>
      </w:pPr>
      <w:r>
        <w:rPr>
          <w:sz w:val="22"/>
          <w:color w:val="6B7280"/>
        </w:rPr>
        <w:t xml:space="preserve">Un gel orale con mio- e D-chiro-inositolo, magnesio e vitamine B6/B9. Per l'equilibrio ormonale femminile.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Gel orale in bustine stick da 10 ml.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stick (10 ml)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Mio-inositolo — 1800 mg · D-chiro-inositolo — 50 mg
                <w:br/>
                Magnesio bisglicinato — 150 mg
                <w:br/>
                Vitamina B6 — 5000 mcg · Metilfolato — 800 mcg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Mio-inositolo</w:t>
      </w:r>
    </w:p>
    <w:p>
      <w:pPr>
        <w:spacing w:after="120"/>
      </w:pPr>
      <w:r>
        <w:rPr>
          <w:sz w:val="22"/>
        </w:rPr>
        <w:t xml:space="preserve">Partecipa alla segnalazione cellulare, regola la sensibilità dei tessuti all'insulina e il metabolismo del glucosio. Sostiene la funzione ovarica, la regolarità del ciclo e la normale ovulazione.</w:t>
      </w:r>
    </w:p>
    <w:p>
      <w:pPr>
        <w:spacing w:after="20"/>
      </w:pPr>
      <w:r>
        <w:rPr>
          <w:b/>
          <w:sz w:val="22"/>
        </w:rPr>
        <w:t xml:space="preserve">D-chiro-inositolo</w:t>
      </w:r>
    </w:p>
    <w:p>
      <w:pPr>
        <w:spacing w:after="120"/>
      </w:pPr>
      <w:r>
        <w:rPr>
          <w:sz w:val="22"/>
        </w:rPr>
        <w:t xml:space="preserve">Aumenta la sensibilità all'insulina, regola l'equilibrio ormonale e i processi metabolici legati alla salute riproduttiva, specialmente nella PCOS.</w:t>
      </w:r>
    </w:p>
    <w:p>
      <w:pPr>
        <w:spacing w:after="20"/>
      </w:pPr>
      <w:r>
        <w:rPr>
          <w:b/>
          <w:sz w:val="22"/>
        </w:rPr>
        <w:t xml:space="preserve">Magnesio, B6, metilfolato</w:t>
      </w:r>
    </w:p>
    <w:p>
      <w:pPr>
        <w:spacing w:after="120"/>
      </w:pPr>
      <w:r>
        <w:rPr>
          <w:sz w:val="22"/>
        </w:rPr>
        <w:t xml:space="preserve">Magnesio e B6 riducono stress, PMS e crampi e sostengono il sistema nervoso; il metilfolato (forma attiva dell'acido folico) è importante per la pianificazione della gravidanza.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Ciclo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Sostegno alla regolarità del ciclo mestruale e dell'ovulazione.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PCOS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In caso di sindrome dell'ovaio policistico e insulino-resistenza.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Salute riproduttiva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Pianificazione della gravidanza, sostegno della funzione ovarica.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Vitalità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Riduzione di PMS, stress e tensione nervosa.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Assumere per via orale. Adulti — 1 bustina stick 1–2 volte al giorno. Non diluire il gel. Verificare il dosaggio esatto e la durata del ciclo nel foglietto illustrativo o con uno specialista.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Intolleranza individuale ai componenti. Donne in gravidanza e allattamento — previo accordo con il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In caso di effetti collaterali, interrompere l'uso e consultare un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In luogo asciutto e al riparo dalla luce, a non più di 25 °C.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Scadenza · vendita</w:t>
      </w:r>
    </w:p>
    <w:p>
      <w:pPr>
        <w:spacing w:after="120"/>
      </w:pPr>
      <w:r>
        <w:rPr>
          <w:sz w:val="22"/>
        </w:rPr>
        <w:t xml:space="preserve">24 mesi. Disponibile senza ricetta. Integratore alimentare, non è un medicinale.</w:t>
      </w:r>
    </w:p>
    <w:p>
      <w:pPr>
        <w:spacing w:after="120"/>
      </w:pPr>
      <w:r>
        <w:rPr>
          <w:sz w:val="18"/>
          <w:color w:val="6B7280"/>
        </w:rPr>
        <w:t xml:space="preserve">Integratore alimentare. Non è un medicinale. Si raccomanda di consultare uno specialista prima dell'uso. Non superare le dosi raccomandate.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