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40"/>
      </w:pPr>
      <w:r>
        <w:rPr>
          <w:b/>
          <w:sz w:val="36"/>
          <w:color w:val="1F2937"/>
        </w:rPr>
        <w:t xml:space="preserve">Handro</w:t>
      </w:r>
    </w:p>
    <w:p>
      <w:pPr>
        <w:spacing w:after="160"/>
      </w:pPr>
      <w:r>
        <w:rPr>
          <w:sz w:val="22"/>
          <w:color w:val="6B7280"/>
        </w:rPr>
        <w:t xml:space="preserve">Polvere per articolazioni e ossa: glucosamina, condroitina, calcio e vitamina C. Sostegno della cartilagine e della mobilità.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Formato e composizione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Formato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Polvere per soluzione orale, 30 bustine.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Composizione per bustina (5 g)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
                Glucosamina solfato — 1000 mg
                <w:br/>
                Condroitina solfato — 1000 mg
                <w:br/>
                Calcio picolinato — 1000 mg · Vitamina C — 200 mg
              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Proprietà dei principi attivi</w:t>
      </w:r>
    </w:p>
    <w:p>
      <w:pPr>
        <w:spacing w:after="20"/>
      </w:pPr>
      <w:r>
        <w:rPr>
          <w:b/>
          <w:sz w:val="22"/>
        </w:rPr>
        <w:t xml:space="preserve">Glucosamina solfato</w:t>
      </w:r>
    </w:p>
    <w:p>
      <w:pPr>
        <w:spacing w:after="120"/>
      </w:pPr>
      <w:r>
        <w:rPr>
          <w:sz w:val="22"/>
        </w:rPr>
        <w:t xml:space="preserve">Aiuta a ripristinare e mantenere la cartilagine, stimola la sintesi del liquido sinoviale, migliora la mobilità articolare e riduce il disagio sotto carico.</w:t>
      </w:r>
    </w:p>
    <w:p>
      <w:pPr>
        <w:spacing w:after="20"/>
      </w:pPr>
      <w:r>
        <w:rPr>
          <w:b/>
          <w:sz w:val="22"/>
        </w:rPr>
        <w:t xml:space="preserve">Condroitina solfato</w:t>
      </w:r>
    </w:p>
    <w:p>
      <w:pPr>
        <w:spacing w:after="120"/>
      </w:pPr>
      <w:r>
        <w:rPr>
          <w:sz w:val="22"/>
        </w:rPr>
        <w:t xml:space="preserve">Partecipa alla formazione della cartilagine, ne rallenta la degradazione, migliora l'elasticità e le proprietà ammortizzanti delle articolazioni e aiuta a trattenere l'umidità nella cartilagine.</w:t>
      </w:r>
    </w:p>
    <w:p>
      <w:pPr>
        <w:spacing w:after="20"/>
      </w:pPr>
      <w:r>
        <w:rPr>
          <w:b/>
          <w:sz w:val="22"/>
        </w:rPr>
        <w:t xml:space="preserve">Calcio picolinato e vitamina C</w:t>
      </w:r>
    </w:p>
    <w:p>
      <w:pPr>
        <w:spacing w:after="120"/>
      </w:pPr>
      <w:r>
        <w:rPr>
          <w:sz w:val="22"/>
        </w:rPr>
        <w:t xml:space="preserve">Il calcio è una fonte di minerale facilmente assorbibile per la robustezza ossea. La vitamina C partecipa alla sintesi del collagene, rafforza il tessuto connettivo e ha effetto antiossidante.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Indicazioni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Articolazioni e ossa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Sostegno della salute di articolazioni e ossa.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Mobilità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Migliore mobilità articolare, ridotta rigidità e disagio sotto carico.</w:t>
            </w:r>
          </w:p>
        </w:tc>
      </w:tr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Cartilagine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Mantenimento e ripristino del tessuto cartilagineo.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Prevenzione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Cambiamenti legati all'età dell'apparato muscolo-scheletrico, carichi elevati e sport.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Modalità d'uso e dosi</w:t>
      </w:r>
    </w:p>
    <w:p>
      <w:pPr>
        <w:spacing w:after="120"/>
      </w:pPr>
      <w:r>
        <w:rPr>
          <w:b/>
          <w:sz w:val="22"/>
        </w:rPr>
        <w:t xml:space="preserve">Adulti — 1 bustina (5 g) al giorno. Sciogliere il contenuto in 150–200 ml di acqua a temperatura ambiente, mescolare bene e assumere durante o dopo i pasti. Durata: 1 mese, ripetibile dopo aver consultato uno specialista.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Controindicazioni</w:t>
      </w:r>
    </w:p>
    <w:p>
      <w:pPr>
        <w:spacing w:after="120"/>
      </w:pPr>
      <w:r>
        <w:rPr>
          <w:sz w:val="22"/>
        </w:rPr>
        <w:t xml:space="preserve">Intolleranza individuale ai componenti. Gravidanza e allattamento — su consiglio dello specialista. Bambini — dopo consulto.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Effetti collaterali</w:t>
      </w:r>
    </w:p>
    <w:p>
      <w:pPr>
        <w:spacing w:after="120"/>
      </w:pPr>
      <w:r>
        <w:rPr>
          <w:sz w:val="22"/>
        </w:rPr>
        <w:t xml:space="preserve">Sono possibili reazioni allergiche individuali e disturbi digestivi. In tal caso interrompere l'uso e consultare uno specialista.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Conservazione</w:t>
      </w:r>
    </w:p>
    <w:p>
      <w:pPr>
        <w:spacing w:after="120"/>
      </w:pPr>
      <w:r>
        <w:rPr>
          <w:sz w:val="22"/>
        </w:rPr>
        <w:t xml:space="preserve">In luogo asciutto e al riparo dalla luce, a non più di 25 °C. Tenere fuori dalla portata dei bambini.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Scadenza · vendita</w:t>
      </w:r>
    </w:p>
    <w:p>
      <w:pPr>
        <w:spacing w:after="120"/>
      </w:pPr>
      <w:r>
        <w:rPr>
          <w:sz w:val="22"/>
        </w:rPr>
        <w:t xml:space="preserve">24 mesi. Disponibile senza ricetta. Integratore alimentare, non è un medicinale.</w:t>
      </w:r>
    </w:p>
    <w:p>
      <w:pPr>
        <w:spacing w:after="120"/>
      </w:pPr>
      <w:r>
        <w:rPr>
          <w:sz w:val="18"/>
          <w:color w:val="6B7280"/>
        </w:rPr>
        <w:t xml:space="preserve">Integratore alimentare. Non è un medicinale. Si raccomanda di consultare uno specialista prima dell'uso. Non superare le dosi raccomandate. Produttore: LLC HVARA, Repubblica dell'Uzbekistan, regione di Khorezm, Urgench, Via I. Dusov 117.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</w:docDefaults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