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Inozipraym W</w:t>
      </w:r>
    </w:p>
    <w:p>
      <w:pPr>
        <w:spacing w:after="160"/>
      </w:pPr>
      <w:r>
        <w:rPr>
          <w:sz w:val="22"/>
          <w:color w:val="6B7280"/>
        </w:rPr>
        <w:t xml:space="preserve">Un nutraceutico scientificamente fondato per la salute femminile. 10 componenti per equilibrio ormonale, fertilità e metabolismo.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Polvere per soluzione orale, 30 bustine. 1 bustina = 1 dose giornaliera (6 g).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bustina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Mio-inositolo — 1000 mg · D-chiro-inositolo — 100 mg
                <w:br/>
                Maca — 300 mg · Resveratrolo — 110 mg · Vit. E — 20 mg
                <w:br/>
                Vit. B6 — 120 mg · Cromo picolinato — 200 mcg
                <w:br/>
                Folato (5-MTHF) · Vit. D3 — 400 UI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Complesso di inositoli (Myo + D-Chiro)</w:t>
      </w:r>
    </w:p>
    <w:p>
      <w:pPr>
        <w:spacing w:after="120"/>
      </w:pPr>
      <w:r>
        <w:rPr>
          <w:sz w:val="22"/>
        </w:rPr>
        <w:t xml:space="preserve">Regola il metabolismo dei carboidrati, aumenta la sensibilità all'insulina, normalizza il rapporto LH/FSH, ripristina la funzione ovarica e l'ovulazione, migliora la qualità degli ovociti e riduce lo stress ossidativo.</w:t>
      </w:r>
    </w:p>
    <w:p>
      <w:pPr>
        <w:spacing w:after="20"/>
      </w:pPr>
      <w:r>
        <w:rPr>
          <w:b/>
          <w:sz w:val="22"/>
        </w:rPr>
        <w:t xml:space="preserve">NAC + L-carnitina</w:t>
      </w:r>
    </w:p>
    <w:p>
      <w:pPr>
        <w:spacing w:after="120"/>
      </w:pPr>
      <w:r>
        <w:rPr>
          <w:sz w:val="22"/>
        </w:rPr>
        <w:t xml:space="preserve">Un sistema antiossidante-detox: il NAC è un precursore del glutatione che riduce l'infiammazione e migliora l'ovulazione; la L-carnitina trasporta gli acidi grassi nei mitocondri e migliora il metabolismo energetico ovarico.</w:t>
      </w:r>
    </w:p>
    <w:p>
      <w:pPr>
        <w:spacing w:after="20"/>
      </w:pPr>
      <w:r>
        <w:rPr>
          <w:b/>
          <w:sz w:val="22"/>
        </w:rPr>
        <w:t xml:space="preserve">Vitamine e minerali</w:t>
      </w:r>
    </w:p>
    <w:p>
      <w:pPr>
        <w:spacing w:after="120"/>
      </w:pPr>
      <w:r>
        <w:rPr>
          <w:sz w:val="22"/>
        </w:rPr>
        <w:t xml:space="preserve">Il magnesio bisglicinato e la vitamina D3 sostengono il sistema nervoso, l'immunità e l'equilibrio ormonale; il metilfolato e la B12 riducono l'omocisteina; cromo e zinco migliorano la tolleranza al glucosio e la follicologenesi.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PCOS e metabolismo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Sindrome dell'ovaio policistico, insulino-resistenza, sindrome metabolica.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Ciclo mestruale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Oligo-/amenorrea, anovulazione, squilibrio ormonale LH/FSH.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Fertilità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Subfertilità, preparazione preconcepimento, preparazione a FIVET/PMA.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Tutte le fasi della vita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nutrizionale, incluso post-parto e menopausa.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Sciogliere il contenuto di una bustina (6 g) in 330 ml d'acqua e assumere per via orale una volta al giorno. Durata del ciclo su consiglio dello specialista. Usare subito la bustina aperta, non conservare.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componenti, primo trimestre di gravidanza (solo su prescrizione), grave insufficienza renale ed epatica, bambini sotto i 12 anni.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Istruzioni speciali</w:t>
      </w:r>
    </w:p>
    <w:p>
      <w:pPr>
        <w:spacing w:after="120"/>
      </w:pPr>
      <w:r>
        <w:rPr>
          <w:sz w:val="22"/>
        </w:rPr>
        <w:t xml:space="preserve">Consultare un ginecologo o endocrinologo prima dell'uso. In caso di diabete è obbligatorio il monitoraggio glicemico. Informare il medico sull'assunzione di metformina, insulina o farmaci ormonali.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in luogo asciutto e al riparo dalla luce.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Non sostituisce il trattamento medico. Gravidanza e allattamento solo sotto controllo medico. Produttore: LLC HVARA, Repubblica dell'Uzbekistan, regione di Khorezm, Urgench, Via I. Dusov 117. Prodotto su ordine per HVARA SRL, Milano, Italia.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