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LevoArgin</w:t>
      </w:r>
    </w:p>
    <w:p>
      <w:pPr>
        <w:spacing w:after="160"/>
      </w:pPr>
      <w:r>
        <w:rPr>
          <w:sz w:val="22"/>
          <w:color w:val="6B7280"/>
        </w:rPr>
        <w:t xml:space="preserve">Soluzione orale con L-carnitina e arginina. Energia, tono vascolare e sostegno al cuore.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orale, 10 flaconi da 10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10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L-carnitina — 2,0 g
                <w:br/>
                Arginina — 0,20 g
                <w:br/>
                Eccipienti: acqua depurata.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L-carnitina</w:t>
      </w:r>
    </w:p>
    <w:p>
      <w:pPr>
        <w:spacing w:after="120"/>
      </w:pPr>
      <w:r>
        <w:rPr>
          <w:sz w:val="22"/>
        </w:rPr>
        <w:t xml:space="preserve">Trasporta gli acidi grassi nei mitocondri per produrre energia, riduce la stanchezza e aumenta le prestazioni fisiche e mentali.</w:t>
      </w:r>
    </w:p>
    <w:p>
      <w:pPr>
        <w:spacing w:after="20"/>
      </w:pPr>
      <w:r>
        <w:rPr>
          <w:b/>
          <w:sz w:val="22"/>
        </w:rPr>
        <w:t xml:space="preserve">Arginina</w:t>
      </w:r>
    </w:p>
    <w:p>
      <w:pPr>
        <w:spacing w:after="120"/>
      </w:pPr>
      <w:r>
        <w:rPr>
          <w:sz w:val="22"/>
        </w:rPr>
        <w:t xml:space="preserve">Un amminoacido condizionatamente essenziale e precursore dell'ossido nitrico. Sostiene il tono vascolare, la microcircolazione e la funzione endoteliale.</w:t>
      </w:r>
    </w:p>
    <w:p>
      <w:pPr>
        <w:spacing w:after="20"/>
      </w:pPr>
      <w:r>
        <w:rPr>
          <w:b/>
          <w:sz w:val="22"/>
        </w:rPr>
        <w:t xml:space="preserve">Azione combinata</w:t>
      </w:r>
    </w:p>
    <w:p>
      <w:pPr>
        <w:spacing w:after="120"/>
      </w:pPr>
      <w:r>
        <w:rPr>
          <w:sz w:val="22"/>
        </w:rPr>
        <w:t xml:space="preserve">La combinazione sostiene il metabolismo energetico, il sistema cardiovascolare e la vitalità generale sotto sforzo.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Energia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Riduce la stanchezza, aumenta le prestazioni.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Cuore e vasi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 sistema cardiovascolare e della microcircolazione.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 tono generale sotto sforzo fisico e mentale.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Metabolismo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Partecipazione al metabolismo energetico.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orale. Assumere il contenuto di un flacone (10 ml) secondo le indicazioni. Verificare il dosaggio esatto e la durata del ciclo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al riparo dalla luce, a non più di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 anni. Disponibile senza ricetta.</w:t>
      </w:r>
    </w:p>
    <w:p>
      <w:pPr>
        <w:spacing w:after="120"/>
      </w:pPr>
      <w:r>
        <w:rPr>
          <w:sz w:val="18"/>
          <w:color w:val="6B7280"/>
        </w:rPr>
        <w:t xml:space="preserve">Leggere le istruzioni prima dell'uso. Produttore: LLC HVARA, 220100,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