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Levohvartin</w:t>
      </w:r>
    </w:p>
    <w:p>
      <w:pPr>
        <w:spacing w:after="160"/>
      </w:pPr>
      <w:r>
        <w:rPr>
          <w:sz w:val="22"/>
          <w:color w:val="6B7280"/>
        </w:rPr>
        <w:t xml:space="preserve">Gocce orali con levocarnitina, magnesio ed estratto di tè verde. Energia, tono e sostegno al cuore.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Liquido (gocce orali) in flaconi di polimero o vetro.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Levocarnitina — 90 mg
                <w:br/>
                Lattato di magnesio — 15 mg
                <w:br/>
                Estratto di tè verde — 2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Levocarnitina</w:t>
      </w:r>
    </w:p>
    <w:p>
      <w:pPr>
        <w:spacing w:after="120"/>
      </w:pPr>
      <w:r>
        <w:rPr>
          <w:sz w:val="22"/>
        </w:rPr>
        <w:t xml:space="preserve">Regola il metabolismo, ha attività anabolica, anti-ipossica e antiossidante, aumenta la produzione di energia e normalizza i livelli di colesterolo.</w:t>
      </w:r>
    </w:p>
    <w:p>
      <w:pPr>
        <w:spacing w:after="20"/>
      </w:pPr>
      <w:r>
        <w:rPr>
          <w:b/>
          <w:sz w:val="22"/>
        </w:rPr>
        <w:t xml:space="preserve">Magnesio</w:t>
      </w:r>
    </w:p>
    <w:p>
      <w:pPr>
        <w:spacing w:after="120"/>
      </w:pPr>
      <w:r>
        <w:rPr>
          <w:sz w:val="22"/>
        </w:rPr>
        <w:t xml:space="preserve">Elemento vitale coinvolto nella maggior parte delle reazioni metaboliche, nella regolazione degli impulsi nervosi e nella contrazione muscolare.</w:t>
      </w:r>
    </w:p>
    <w:p>
      <w:pPr>
        <w:spacing w:after="20"/>
      </w:pPr>
      <w:r>
        <w:rPr>
          <w:b/>
          <w:sz w:val="22"/>
        </w:rPr>
        <w:t xml:space="preserve">Estratto di tè verde</w:t>
      </w:r>
    </w:p>
    <w:p>
      <w:pPr>
        <w:spacing w:after="120"/>
      </w:pPr>
      <w:r>
        <w:rPr>
          <w:sz w:val="22"/>
        </w:rPr>
        <w:t xml:space="preserve">Contiene polifenoli, vitamine e oligoelementi; favorisce il metabolismo, i sistemi nervoso e cardiovascolare e rafforza le pareti dei vasi.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Cuore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Sostiene la funzione cardiaca sotto sforzo.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Energia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la stanchezza, aumenta le prestazioni.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Recupero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Accelera il recupero dopo l'allenamento.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 l'appetito, il tono e la vitalità.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Bambini dai 6 anni — 15 gocce 2–3 volte al giorno; adulti — 25–30 gocce 2–3 volte al giorno. Durata: 2–3 settimane. In gravidanza e allattamento —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bambini sotto i 6 anni.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Non è un medicinale.</w:t>
      </w:r>
    </w:p>
    <w:p>
      <w:pPr>
        <w:spacing w:after="120"/>
      </w:pPr>
      <w:r>
        <w:rPr>
          <w:sz w:val="18"/>
          <w:color w:val="6B7280"/>
        </w:rPr>
        <w:t xml:space="preserve">Non è un medicinale. Si raccomanda di consultare uno specialista prima dell'uso. Produttore: LLC HVARA, 220100,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