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Linocitin</w:t>
      </w:r>
    </w:p>
    <w:p>
      <w:pPr>
        <w:spacing w:after="160"/>
      </w:pPr>
      <w:r>
        <w:rPr>
          <w:sz w:val="22"/>
          <w:color w:val="6B7280"/>
        </w:rPr>
        <w:t xml:space="preserve">Un gel orale con citicolina in bustine stick. Sostegno a memoria, funzioni cognitive e salute del cervello.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Formato e composizione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Formato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Gel orale in bustine stick da 10 ml, n.10.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Composizione per bustina (10 ml)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Citicolina — 500 mg
                <w:br/>
                Eccipienti: maltodestrina, carbomero, aroma, sorbato di potassio, acqua depurata.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Proprietà dei principi attivi</w:t>
      </w:r>
    </w:p>
    <w:p>
      <w:pPr>
        <w:spacing w:after="20"/>
      </w:pPr>
      <w:r>
        <w:rPr>
          <w:b/>
          <w:sz w:val="22"/>
        </w:rPr>
        <w:t xml:space="preserve">Citicolina</w:t>
      </w:r>
    </w:p>
    <w:p>
      <w:pPr>
        <w:spacing w:after="120"/>
      </w:pPr>
      <w:r>
        <w:rPr>
          <w:sz w:val="22"/>
        </w:rPr>
        <w:t xml:space="preserve">Un derivato della colina e della citidina coinvolto nella biosintesi della lecitina — un importante componente delle membrane cellulari. Migliora il flusso sanguigno cerebrale e il consumo di ossigeno del cervello.</w:t>
      </w:r>
    </w:p>
    <w:p>
      <w:pPr>
        <w:spacing w:after="20"/>
      </w:pPr>
      <w:r>
        <w:rPr>
          <w:b/>
          <w:sz w:val="22"/>
        </w:rPr>
        <w:t xml:space="preserve">Funzioni cognitive</w:t>
      </w:r>
    </w:p>
    <w:p>
      <w:pPr>
        <w:spacing w:after="120"/>
      </w:pPr>
      <w:r>
        <w:rPr>
          <w:sz w:val="22"/>
        </w:rPr>
        <w:t xml:space="preserve">Ripristina le membrane delle cellule cerebrali e rafforza le connessioni tra le cellule nervose, sostenendo memoria, attenzione e concentrazione.</w:t>
      </w:r>
    </w:p>
    <w:p>
      <w:pPr>
        <w:spacing w:after="20"/>
      </w:pPr>
      <w:r>
        <w:rPr>
          <w:b/>
          <w:sz w:val="22"/>
        </w:rPr>
        <w:t xml:space="preserve">Nootropico</w:t>
      </w:r>
    </w:p>
    <w:p>
      <w:pPr>
        <w:spacing w:after="120"/>
      </w:pPr>
      <w:r>
        <w:rPr>
          <w:sz w:val="22"/>
        </w:rPr>
        <w:t xml:space="preserve">Preferito nel recupero dopo un ictus, nei problemi di memoria legati all'età e per la protezione della funzione cerebrale. Ha potenziale nel migliorare la funzione visiva.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Indicazioni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Memoria e attenzione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Declino di memoria e concentrazione, altri disturbi cognitivi.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Dopo l'ictus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Riabilitazione dopo disturbi cerebrovascolari (ictus ischemico).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Dopo traumi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Periodo di recupero dopo traumi cranici.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Alterazioni vascolari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Disturbi comportamentali e ridotte prestazioni mentali.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Modalità d'uso e dosi</w:t>
      </w:r>
    </w:p>
    <w:p>
      <w:pPr>
        <w:spacing w:after="120"/>
      </w:pPr>
      <w:r>
        <w:rPr>
          <w:b/>
          <w:sz w:val="22"/>
        </w:rPr>
        <w:t xml:space="preserve">Assumere per via orale durante o subito dopo i pasti. Citicolina — 500–1000 mg al giorno, in 1–2 assunzioni. Il regime e la durata sono stabiliti individualmente dal medico; ciclo consigliato — 3 mesi.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Controindicazioni</w:t>
      </w:r>
    </w:p>
    <w:p>
      <w:pPr>
        <w:spacing w:after="120"/>
      </w:pPr>
      <w:r>
        <w:rPr>
          <w:sz w:val="22"/>
        </w:rPr>
        <w:t xml:space="preserve">In gravidanza, allattamento e nell'infanzia — dopo aver consultato uno specialista. Sensibilità individuale ai componenti.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Effetti collaterali</w:t>
      </w:r>
    </w:p>
    <w:p>
      <w:pPr>
        <w:spacing w:after="120"/>
      </w:pPr>
      <w:r>
        <w:rPr>
          <w:sz w:val="22"/>
        </w:rPr>
        <w:t xml:space="preserve">Sono possibili reazioni di ipersensibilità individuale ai componenti.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Conservazione</w:t>
      </w:r>
    </w:p>
    <w:p>
      <w:pPr>
        <w:spacing w:after="120"/>
      </w:pPr>
      <w:r>
        <w:rPr>
          <w:sz w:val="22"/>
        </w:rPr>
        <w:t xml:space="preserve">A non più di 25 °C, fuori dalla portata dei bambini.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Scadenza · vendita</w:t>
      </w:r>
    </w:p>
    <w:p>
      <w:pPr>
        <w:spacing w:after="120"/>
      </w:pPr>
      <w:r>
        <w:rPr>
          <w:sz w:val="22"/>
        </w:rPr>
        <w:t xml:space="preserve">24 mesi. Disponibile senza ricetta. Integratore alimentare, non è un medicinale.</w:t>
      </w:r>
    </w:p>
    <w:p>
      <w:pPr>
        <w:spacing w:after="120"/>
      </w:pPr>
      <w:r>
        <w:rPr>
          <w:sz w:val="18"/>
          <w:color w:val="6B7280"/>
        </w:rPr>
        <w:t xml:space="preserve">Integratore alimentare. Non è un medicinale. Si raccomanda di consultare uno specialista prima dell'uso. Prodotto su ordine per LOFTPHARM İLAÇ A.Ş., Istanbul, Türkiye. Produttore: LLC HVARA, Repubblica dell'Uzbekistan, regione di Khorezm, Urgench, Via I. Dusov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