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MaloxiMAKS</w:t>
      </w:r>
    </w:p>
    <w:p>
      <w:pPr>
        <w:spacing w:after="160"/>
      </w:pPr>
      <w:r>
        <w:rPr>
          <w:sz w:val="22"/>
          <w:color w:val="6B7280"/>
        </w:rPr>
        <w:t xml:space="preserve">Una sospensione antiacida in bustine. Sollievo da bruciore di stomaco e dolori gastrici. Gusto menta.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Sospensione orale, bustine da 15 ml, n.30.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15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Idrossido di magnesio (gel) — 600 mg
                <w:br/>
                Idrossido di alluminio (gel) — 525 mg
                <w:br/>
                Olio di menta, acido citrico, mannitolo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Neutralizzazione dell'acido</w:t>
      </w:r>
    </w:p>
    <w:p>
      <w:pPr>
        <w:spacing w:after="120"/>
      </w:pPr>
      <w:r>
        <w:rPr>
          <w:sz w:val="22"/>
        </w:rPr>
        <w:t xml:space="preserve">Gli idrossidi di alluminio e magnesio neutralizzano l'acido cloridrico libero senza causare ipersecrezione secondaria. La combinazione bilanciata riduce gli effetti collaterali.</w:t>
      </w:r>
    </w:p>
    <w:p>
      <w:pPr>
        <w:spacing w:after="20"/>
      </w:pPr>
      <w:r>
        <w:rPr>
          <w:b/>
          <w:sz w:val="22"/>
        </w:rPr>
        <w:t xml:space="preserve">Riduzione della pepsina</w:t>
      </w:r>
    </w:p>
    <w:p>
      <w:pPr>
        <w:spacing w:after="120"/>
      </w:pPr>
      <w:r>
        <w:rPr>
          <w:sz w:val="22"/>
        </w:rPr>
        <w:t xml:space="preserve">L'aumento del pH del succo gastrico riduce l'attività della pepsina.</w:t>
      </w:r>
    </w:p>
    <w:p>
      <w:pPr>
        <w:spacing w:after="20"/>
      </w:pPr>
      <w:r>
        <w:rPr>
          <w:b/>
          <w:sz w:val="22"/>
        </w:rPr>
        <w:t xml:space="preserve">Protezione della mucosa</w:t>
      </w:r>
    </w:p>
    <w:p>
      <w:pPr>
        <w:spacing w:after="120"/>
      </w:pPr>
      <w:r>
        <w:rPr>
          <w:sz w:val="22"/>
        </w:rPr>
        <w:t xml:space="preserve">Ha un'azione adsorbente e protettiva, riducendo l'impatto dei fattori dannosi sulla mucosa esofagea e gastrica.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Bruciore di stomaco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bruciore e disturbi epigastrici, anche per eccessi alimentari.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Gastrite e ulcera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Gastroduodenite acuta, ulcera peptica in fase acuta.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Reflusso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Esofagite da reflusso, ernia iatale.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Dispepsia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della dispepsia durante l'assunzione di FANS e corticosteroidi.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orale. Bambini sopra i 15 anni e adulti — contenuto di 1–2 bustine (15–30 ml) 1–1,5 h dopo i pasti o in caso di bruciore. Se necessario, una dose aggiuntiva dopo 2 h. Massimo — 12 bustine (180 ml) al giorno. Ciclo: non più di 2–3 mesi.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Gravidanza e allattamento, ipofosfatemia, grave insufficienza renale, intolleranza al fruttosio, età inferiore a 15 anni.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Non comuni — diarrea, stitichezza. Possibili reazioni di ipersensibilità. Dosi elevate a lungo termine possono alterare il metabolismo minerale.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Prodotto su ordine per Hvara SRL, Milano, Italia.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