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Mio Inofol</w:t>
      </w:r>
    </w:p>
    <w:p>
      <w:pPr>
        <w:spacing w:after="160"/>
      </w:pPr>
      <w:r>
        <w:rPr>
          <w:sz w:val="22"/>
          <w:color w:val="6B7280"/>
        </w:rPr>
        <w:t xml:space="preserve">Capsule con mio-inositolo e acido folico. Equilibrio ormonale, regolazione del ciclo e preparazione alla gravidanza.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 0,5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capsula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Mio-inositolo — 500 mg
                <w:br/>
                Acido folico (vit. B9) — 100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Mio-inositolo</w:t>
      </w:r>
    </w:p>
    <w:p>
      <w:pPr>
        <w:spacing w:after="120"/>
      </w:pPr>
      <w:r>
        <w:rPr>
          <w:sz w:val="22"/>
        </w:rPr>
        <w:t xml:space="preserve">Garantisce il funzionamento dei recettori degli ormoni sessuali e dell'insulina, sostiene l'equilibrio degli ormoni femminili, normalizza i livelli di androgeni e prolattina e riduce i segni di iperandrogenismo (inclusa la PCOS).</w:t>
      </w:r>
    </w:p>
    <w:p>
      <w:pPr>
        <w:spacing w:after="20"/>
      </w:pPr>
      <w:r>
        <w:rPr>
          <w:b/>
          <w:sz w:val="22"/>
        </w:rPr>
        <w:t xml:space="preserve">Regolazione del ciclo</w:t>
      </w:r>
    </w:p>
    <w:p>
      <w:pPr>
        <w:spacing w:after="120"/>
      </w:pPr>
      <w:r>
        <w:rPr>
          <w:sz w:val="22"/>
        </w:rPr>
        <w:t xml:space="preserve">Partecipa alla regolazione del ciclo mestruale e ne favorisce la normalizzazione, svolge un ruolo nella maturazione dell'ovocita in preparazione alla fecondazione e riduce l'insulino-resistenza.</w:t>
      </w:r>
    </w:p>
    <w:p>
      <w:pPr>
        <w:spacing w:after="20"/>
      </w:pPr>
      <w:r>
        <w:rPr>
          <w:b/>
          <w:sz w:val="22"/>
        </w:rPr>
        <w:t xml:space="preserve">Acido folico</w:t>
      </w:r>
    </w:p>
    <w:p>
      <w:pPr>
        <w:spacing w:after="120"/>
      </w:pPr>
      <w:r>
        <w:rPr>
          <w:sz w:val="22"/>
        </w:rPr>
        <w:t xml:space="preserve">Necessario per la divisione cellulare e la crescita dei sistemi circolatorio e immunitario. Raccomandato nella pianificazione della gravidanza e nel primo trimestre per uno sviluppo armonioso del feto.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Ciclo mestruale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disturbi del ciclo mestruale.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PMS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 caso di sindrome premestruale.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PCOS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Iperandrogenismo, sindrome dell'ovaio policistico.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Pianificazione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Durante la preparazione al concepimento.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Per uso orale durante i pasti. Adulti e bambini sopra i 12 anni — 1 capsula 1–4 volte al giorno. Durata: 30 giorni. Si può iniziare in qualsiasi giorno del ciclo. Ripetibile su consiglio dello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componenti, bambini sotto i 12 anni.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Le donne in gravidanza e in allattamento — previo accordo e sotto controllo medico. Si raccomanda di consultare uno specialista prima dell'uso. Non usare dopo la data di scadenza.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