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Neyrogil</w:t>
      </w:r>
    </w:p>
    <w:p>
      <w:pPr>
        <w:spacing w:after="160"/>
      </w:pPr>
      <w:r>
        <w:rPr>
          <w:sz w:val="22"/>
          <w:color w:val="6B7280"/>
        </w:rPr>
        <w:t xml:space="preserve">Collirio con ialuronato di sodio e citicolina. Un neuroprotettore oftalmico con azione idratante e protettiva.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Collirio, flacone da 10 ml. Soluzione limpida e incolore.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Ialuronato di sodio — 2,0 mg
                <w:br/>
                Citicolina sodica — 20,0 mg
                <w:br/>
                Cloruro di sodio, fosfati, acqua depurata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Ialuronato di sodio</w:t>
      </w:r>
    </w:p>
    <w:p>
      <w:pPr>
        <w:spacing w:after="120"/>
      </w:pPr>
      <w:r>
        <w:rPr>
          <w:sz w:val="22"/>
        </w:rPr>
        <w:t xml:space="preserve">Migliora la stabilità del film lacrimale, mantiene la superficie oculare idratata e protetta e crea un ambiente favorevole al ripristino dell'epitelio corneale e congiuntivale.</w:t>
      </w:r>
    </w:p>
    <w:p>
      <w:pPr>
        <w:spacing w:after="20"/>
      </w:pPr>
      <w:r>
        <w:rPr>
          <w:b/>
          <w:sz w:val="22"/>
        </w:rPr>
        <w:t xml:space="preserve">Citicolina</w:t>
      </w:r>
    </w:p>
    <w:p>
      <w:pPr>
        <w:spacing w:after="120"/>
      </w:pPr>
      <w:r>
        <w:rPr>
          <w:sz w:val="22"/>
        </w:rPr>
        <w:t xml:space="preserve">Offre supporto strutturale nel ripristino dell'integrità delle membrane cellulari danneggiate da patologie oculari degenerative (es. glaucoma).</w:t>
      </w:r>
    </w:p>
    <w:p>
      <w:pPr>
        <w:spacing w:after="20"/>
      </w:pPr>
      <w:r>
        <w:rPr>
          <w:b/>
          <w:sz w:val="22"/>
        </w:rPr>
        <w:t xml:space="preserve">Neuroprotezione</w:t>
      </w:r>
    </w:p>
    <w:p>
      <w:pPr>
        <w:spacing w:after="120"/>
      </w:pPr>
      <w:r>
        <w:rPr>
          <w:sz w:val="22"/>
        </w:rPr>
        <w:t xml:space="preserve">Azione neurotrasmettitoriale, anti-degenerativa, antiossidante e metabolica, migliorando la microcircolazione oculare.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Occhio secco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Irritazione, bruciore e sensazione di corpo estraneo da fattori ambientali.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Glaucoma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Prevenzione in glaucoma e neuropatia glaucomatosa.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Retinopatie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Retinopatia diabetica, degenerazione maculare, alterazioni del fondo oculare.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Dopo interventi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Prima e dopo la chirurgia cheratorefrattiva (LASIK, ecc.).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1 goccia 2–3 volte al giorno o secondo prescrizione medica. Dopo l'instillazione, attendere 10–15 minuti prima di usare altri prodotti oftalmici. Usare entro 1 mese dall'apertura.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 del prodotto.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Possibile visione offuscata temporanea dopo l'instillazione. In caso di reazioni avverse,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oltre 25 °C. Non toccare la punta del contagocce con l'occhio o oggetti.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 anni; 1 mese dopo l'apertura. Disponibile senza ricetta.</w:t>
      </w:r>
    </w:p>
    <w:p>
      <w:pPr>
        <w:spacing w:after="120"/>
      </w:pPr>
      <w:r>
        <w:rPr>
          <w:sz w:val="18"/>
          <w:color w:val="6B7280"/>
        </w:rPr>
        <w:t xml:space="preserve">Dispositivo medico. Si raccomanda di consultare uno specialista prima dell'uso. Tenere fuori dalla portata dei bambini.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