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Neurokentron KIDS</w:t>
      </w:r>
    </w:p>
    <w:p>
      <w:pPr>
        <w:spacing w:after="160"/>
      </w:pPr>
      <w:r>
        <w:rPr>
          <w:sz w:val="22"/>
          <w:color w:val="6B7280"/>
        </w:rPr>
        <w:t xml:space="preserve">Gel orale con citidina, uridina, lecitina e metilfolato. Nutrimento e sviluppo del sistema nervoso nei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orale, 10 ml (stick).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Citidina — 10 mg · Uridina — 20 mg
                <w:br/>
                Lecitina — 100 mg · Metilfolato — 100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Citidina e uridina</w:t>
      </w:r>
    </w:p>
    <w:p>
      <w:pPr>
        <w:spacing w:after="120"/>
      </w:pPr>
      <w:r>
        <w:rPr>
          <w:sz w:val="22"/>
        </w:rPr>
        <w:t xml:space="preserve">Nucleosidi — componenti naturali di tutte le cellule e parte dell'RNA. Ripristinano le membrane dei neuroni, sostengono la funzione dei neurotrasmettitori e la conduzione dell'impulso nervoso, favoriscono la sinaptogenesi e la crescita assonale.</w:t>
      </w:r>
    </w:p>
    <w:p>
      <w:pPr>
        <w:spacing w:after="20"/>
      </w:pPr>
      <w:r>
        <w:rPr>
          <w:b/>
          <w:sz w:val="22"/>
        </w:rPr>
        <w:t xml:space="preserve">Lecitina</w:t>
      </w:r>
    </w:p>
    <w:p>
      <w:pPr>
        <w:spacing w:after="120"/>
      </w:pPr>
      <w:r>
        <w:rPr>
          <w:sz w:val="22"/>
        </w:rPr>
        <w:t xml:space="preserve">Un complesso di fosfolipidi — materiale costitutivo dei neuroni. Partecipa alla formazione della mielina, fonte di colina e acetilcolina, sostiene memoria e attenzione e migliora la trasmissione neuromuscolare. Un potente antiossidante.</w:t>
      </w:r>
    </w:p>
    <w:p>
      <w:pPr>
        <w:spacing w:after="20"/>
      </w:pPr>
      <w:r>
        <w:rPr>
          <w:b/>
          <w:sz w:val="22"/>
        </w:rPr>
        <w:t xml:space="preserve">Metilfolato</w:t>
      </w:r>
    </w:p>
    <w:p>
      <w:pPr>
        <w:spacing w:after="120"/>
      </w:pPr>
      <w:r>
        <w:rPr>
          <w:sz w:val="22"/>
        </w:rPr>
        <w:t xml:space="preserve">La forma attiva dell'acido folico, fondamentale per la funzione del SNC. Riduce l'omocisteina, protegge i neuroni dallo stress ossidativo, migliora la memoria e il recupero delle fibre nervose.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Sviluppo del SNC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Ritardo dello sviluppo psicomotorio e del linguaggio, scarso apprendimento, iperattività.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Funzioni cognitive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di memoria, attenzione e concentrazione, rapido affaticamento mentale.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Nevrosi, astenia, situazioni di stress, migliore adattamento e umore.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Recupero dei nervi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Neuropatie, nevralgie, esiti di traumi, neuropatia del nervo facciale.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Prima o dopo i pasti, solo per uso orale. Bambini dai 1 anno — 1 stick una volta al giorno; dai 3 anni — 1 stick due volte al giorno. Ciclo: da 20 giorni a 1 mese. Ripetibile su consiglio del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Intolleranza individuale ai componenti. 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