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Nifurofril</w:t>
      </w:r>
    </w:p>
    <w:p>
      <w:pPr>
        <w:spacing w:after="160"/>
      </w:pPr>
      <w:r>
        <w:rPr>
          <w:sz w:val="22"/>
          <w:color w:val="6B7280"/>
        </w:rPr>
        <w:t xml:space="preserve">Sospensione orale con nifuroxazide. Un antidiarroico per la diarrea batterica acuta e le infezioni intestinali.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Sospensione orale, flacone da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Nifuroxazide — 200 mg
                <w:br/>
                Eccipienti: glicerolo, sorbato di potassio, ciclammato di sodio, carmellosa, aroma, acqua.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Nifuroxazide</w:t>
      </w:r>
    </w:p>
    <w:p>
      <w:pPr>
        <w:spacing w:after="120"/>
      </w:pPr>
      <w:r>
        <w:rPr>
          <w:sz w:val="22"/>
        </w:rPr>
        <w:t xml:space="preserve">Un agente antimicrobico, derivato del nitrofurano. Blocca gli enzimi e le catene respiratorie della cellula microbica, ne distrugge la membrana e riduce la produzione di tossine.</w:t>
      </w:r>
    </w:p>
    <w:p>
      <w:pPr>
        <w:spacing w:after="20"/>
      </w:pPr>
      <w:r>
        <w:rPr>
          <w:b/>
          <w:sz w:val="22"/>
        </w:rPr>
        <w:t xml:space="preserve">Ampio spettro</w:t>
      </w:r>
    </w:p>
    <w:p>
      <w:pPr>
        <w:spacing w:after="120"/>
      </w:pPr>
      <w:r>
        <w:rPr>
          <w:sz w:val="22"/>
        </w:rPr>
        <w:t xml:space="preserve">Altamente attivo contro Campylobacter, E. coli, Salmonella, Clostridium perfringens, Vibrio cholerae, Staphylococcus e altri patogeni delle infezioni intestinali.</w:t>
      </w:r>
    </w:p>
    <w:p>
      <w:pPr>
        <w:spacing w:after="20"/>
      </w:pPr>
      <w:r>
        <w:rPr>
          <w:b/>
          <w:sz w:val="22"/>
        </w:rPr>
        <w:t xml:space="preserve">Delicato sulla microflora</w:t>
      </w:r>
    </w:p>
    <w:p>
      <w:pPr>
        <w:spacing w:after="120"/>
      </w:pPr>
      <w:r>
        <w:rPr>
          <w:sz w:val="22"/>
        </w:rPr>
        <w:t xml:space="preserve">Non altera l'equilibrio della microflora intestinale, ripristina l'eubiosi intestinale e previene la superinfezione batterica nei casi virali.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Diarrea acuta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Diarrea batterica acuta senza peggioramento delle condizioni generali.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Infezioni intestinali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infezione intestinale.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Diarrea batterica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diarrea batterica.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Ripristino dell'eubiosi intestinale.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Agitare bene il flacone prima dell'uso. Bambini sotto i 3 anni — 2,5 ml 2–3 volte al giorno; 3–6 anni — 5 ml 3 volte; 6–18 anni — 5 ml 3–4 volte; adulti — 5 ml 4 volte al giorno. Ciclo: 5–7 giorni (non più di 7). Se non migliora in 3 giorni,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periodo neonatale, prematurità. L'alcol è severamente vietato durante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Istruzioni speciali</w:t>
      </w:r>
    </w:p>
    <w:p>
      <w:pPr>
        <w:spacing w:after="120"/>
      </w:pPr>
      <w:r>
        <w:rPr>
          <w:sz w:val="22"/>
        </w:rPr>
        <w:t xml:space="preserve">In caso di diarrea è necessaria la terapia di reidratazione. Il trattamento dei bambini sotto i 3 anni deve avvenire sotto controllo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Conservare a non più di 25 °C.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