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Nucleo Neuro</w:t>
      </w:r>
    </w:p>
    <w:p>
      <w:pPr>
        <w:spacing w:after="160"/>
      </w:pPr>
      <w:r>
        <w:rPr>
          <w:sz w:val="22"/>
          <w:color w:val="6B7280"/>
        </w:rPr>
        <w:t xml:space="preserve">Capsule con citidina e uridina. Sostiene la salute del sistema nervoso e favorisce memoria e apprendimento.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 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Citidina — 5 mg
                <w:br/>
                Uridina — 3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Citidina</w:t>
      </w:r>
    </w:p>
    <w:p>
      <w:pPr>
        <w:spacing w:after="120"/>
      </w:pPr>
      <w:r>
        <w:rPr>
          <w:sz w:val="22"/>
        </w:rPr>
        <w:t xml:space="preserve">Partecipa alla sintesi dei lipidi che formano la membrana neuronale, soprattutto la sfingomielina — il componente principale della guaina mielinica. Importante per la formazione di acidi nucleici e proteine.</w:t>
      </w:r>
    </w:p>
    <w:p>
      <w:pPr>
        <w:spacing w:after="20"/>
      </w:pPr>
      <w:r>
        <w:rPr>
          <w:b/>
          <w:sz w:val="22"/>
        </w:rPr>
        <w:t xml:space="preserve">Uridina</w:t>
      </w:r>
    </w:p>
    <w:p>
      <w:pPr>
        <w:spacing w:after="120"/>
      </w:pPr>
      <w:r>
        <w:rPr>
          <w:sz w:val="22"/>
        </w:rPr>
        <w:t xml:space="preserve">Agisce come coenzima nella sintesi di glicolipidi, strutture neuronali e guaina mielinica, completando la citidina. Funge da fonte di energia nella contrazione muscolare.</w:t>
      </w:r>
    </w:p>
    <w:p>
      <w:pPr>
        <w:spacing w:after="20"/>
      </w:pPr>
      <w:r>
        <w:rPr>
          <w:b/>
          <w:sz w:val="22"/>
        </w:rPr>
        <w:t xml:space="preserve">Azione generale</w:t>
      </w:r>
    </w:p>
    <w:p>
      <w:pPr>
        <w:spacing w:after="120"/>
      </w:pPr>
      <w:r>
        <w:rPr>
          <w:sz w:val="22"/>
        </w:rPr>
        <w:t xml:space="preserve">Attiva il metabolismo nelle cellule nervose, ripristina la guaina mielinica e migliora il trofismo del sistema nervoso centrale e periferico, la memoria e l'attenzione.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Neuropatie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Neuropatie osteoarticolari (sciatica, radicolite), neuropatia diabetica, polineuriti alcoliche.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Nevralgie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Nevralgia dei nervi facciale, trigemino e intercostali, lombalgia.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Memoria e attenzione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Deficit neuropsicologico con compromissione di memoria, attenzione e sensibilità.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Recupero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Herpes zoster, paralisi di Bell, complicanze delle malattie vascolari cerebrali.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— 1–2 capsule due volte al giorno; bambini dai 5 anni — 1 capsula due volte al giorno, prima o dopo i pasti. Ciclo: almeno 10 giorni, fino a 20 giorni se indicato. Ripetibile su consiglio del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Intolleranza individuale ai componenti. 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