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Retilan</w:t>
      </w:r>
    </w:p>
    <w:p>
      <w:pPr>
        <w:spacing w:after="160"/>
      </w:pPr>
      <w:r>
        <w:rPr>
          <w:sz w:val="22"/>
          <w:color w:val="6B7280"/>
        </w:rPr>
        <w:t xml:space="preserve">Collirio con citicolina, vitamina B12 e ialuronato di sodio. Un neuroprotettore oftalmico.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Collirio, flacone da 10 ml. Soluzione limpida di colore rosso.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Citicolina sodica — 20,0 mg
                <w:br/>
                Ialuronato di sodio — 2,0 mg · B12 — 0,5 mg
                <w:br/>
                Cloruro di sodio, fosfati, acqua depurata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Citicolina</w:t>
      </w:r>
    </w:p>
    <w:p>
      <w:pPr>
        <w:spacing w:after="120"/>
      </w:pPr>
      <w:r>
        <w:rPr>
          <w:sz w:val="22"/>
        </w:rPr>
        <w:t xml:space="preserve">Precursore dei fosfolipidi delle membrane neuronali. Ripristina l'integrità delle membrane delle cellule nervose danneggiate e funge da fattore di crescita per le fibre del nervo ottico nelle patologie degenerative.</w:t>
      </w:r>
    </w:p>
    <w:p>
      <w:pPr>
        <w:spacing w:after="20"/>
      </w:pPr>
      <w:r>
        <w:rPr>
          <w:b/>
          <w:sz w:val="22"/>
        </w:rPr>
        <w:t xml:space="preserve">Vitamina B12</w:t>
      </w:r>
    </w:p>
    <w:p>
      <w:pPr>
        <w:spacing w:after="120"/>
      </w:pPr>
      <w:r>
        <w:rPr>
          <w:sz w:val="22"/>
        </w:rPr>
        <w:t xml:space="preserve">Ripristina la mielinizzazione e la rigenerazione delle fibre nervose, favorisce la ri-epitelizzazione corneale e protegge le cellule dai radicali liberi.</w:t>
      </w:r>
    </w:p>
    <w:p>
      <w:pPr>
        <w:spacing w:after="20"/>
      </w:pPr>
      <w:r>
        <w:rPr>
          <w:b/>
          <w:sz w:val="22"/>
        </w:rPr>
        <w:t xml:space="preserve">Ialuronato di sodio</w:t>
      </w:r>
    </w:p>
    <w:p>
      <w:pPr>
        <w:spacing w:after="120"/>
      </w:pPr>
      <w:r>
        <w:rPr>
          <w:sz w:val="22"/>
        </w:rPr>
        <w:t xml:space="preserve">Migliora la stabilità del film lacrimale, mantiene i componenti attivi sulla superficie oculare e favorisce la migrazione della citicolina nelle strutture dell'occhio.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Glaucoma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Neuropatia glaucomatosa ottica, neuropatia ischemica.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Retinopatie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Retinopatia diabetica, degenerazione maculare, alterazioni retiniche.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Miopia e ipermetropia elevate, ambliopia, cataratta.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interventi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Interventi chirurgici sul segmento anteriore dell'occhio.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1 goccia 2–3 volte al giorno o secondo prescrizione medica. Ciclo consigliato — 2 mesi 3 volte l'anno o 4 mesi 2 volte l'anno. Attendere 10–15 minuti prima di altri prodotti oftalmici.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 del prodotto.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Possibile visione offuscata temporanea dopo l'instillazione. In caso di reazioni avverse,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Interazioni</w:t>
      </w:r>
    </w:p>
    <w:p>
      <w:pPr>
        <w:spacing w:after="120"/>
      </w:pPr>
      <w:r>
        <w:rPr>
          <w:sz w:val="22"/>
        </w:rPr>
        <w:t xml:space="preserve">La B12 è farmacologicamente incompatibile con acido ascorbico, sali di metalli pesanti, tiamina, piridossina e riboflavina.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 · scadenza</w:t>
      </w:r>
    </w:p>
    <w:p>
      <w:pPr>
        <w:spacing w:after="120"/>
      </w:pPr>
      <w:r>
        <w:rPr>
          <w:sz w:val="22"/>
        </w:rPr>
        <w:t xml:space="preserve">A non oltre 25 °C. 2 anni; 1 mese dopo l'apertura. Disponibile senza ricetta.</w:t>
      </w:r>
    </w:p>
    <w:p>
      <w:pPr>
        <w:spacing w:after="120"/>
      </w:pPr>
      <w:r>
        <w:rPr>
          <w:sz w:val="18"/>
          <w:color w:val="6B7280"/>
        </w:rPr>
        <w:t xml:space="preserve">Dispositivo medico. Si raccomanda di consultare uno specialista prima dell'uso. Tenere fuori dalla portata dei bambini.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