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Zinc Effect</w:t>
      </w:r>
    </w:p>
    <w:p>
      <w:pPr>
        <w:spacing w:after="160"/>
      </w:pPr>
      <w:r>
        <w:rPr>
          <w:sz w:val="22"/>
          <w:color w:val="6B7280"/>
        </w:rPr>
        <w:t xml:space="preserve">Capsule con zinco 50 mg ed estratto di mirtillo, con tecnologia liposomiale. Per pelle, capelli, vista e immunità.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Capsule, 60 per confezione. Tecnologia liposomiale.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Gluconato di zinco — 50 mg
                <w:br/>
                Estratto di mirtillo — 100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Zinco</w:t>
      </w:r>
    </w:p>
    <w:p>
      <w:pPr>
        <w:spacing w:after="120"/>
      </w:pPr>
      <w:r>
        <w:rPr>
          <w:sz w:val="22"/>
        </w:rPr>
        <w:t xml:space="preserve">Un oligoelemento essenziale coinvolto in centinaia di enzimi; sostiene l'immunità, la guarigione delle ferite, la salute di pelle e capelli e l'acuità visiva.</w:t>
      </w:r>
    </w:p>
    <w:p>
      <w:pPr>
        <w:spacing w:after="20"/>
      </w:pPr>
      <w:r>
        <w:rPr>
          <w:b/>
          <w:sz w:val="22"/>
        </w:rPr>
        <w:t xml:space="preserve">Estratto di mirtillo</w:t>
      </w:r>
    </w:p>
    <w:p>
      <w:pPr>
        <w:spacing w:after="120"/>
      </w:pPr>
      <w:r>
        <w:rPr>
          <w:sz w:val="22"/>
        </w:rPr>
        <w:t xml:space="preserve">Ricco di antiossidanti antocianici, sostiene la salute degli occhi e dei vasi e completa lo zinco.</w:t>
      </w:r>
    </w:p>
    <w:p>
      <w:pPr>
        <w:spacing w:after="20"/>
      </w:pPr>
      <w:r>
        <w:rPr>
          <w:b/>
          <w:sz w:val="22"/>
        </w:rPr>
        <w:t xml:space="preserve">Tecnologia liposomiale</w:t>
      </w:r>
    </w:p>
    <w:p>
      <w:pPr>
        <w:spacing w:after="120"/>
      </w:pPr>
      <w:r>
        <w:rPr>
          <w:sz w:val="22"/>
        </w:rPr>
        <w:t xml:space="preserve">Garantisce una maggiore biodisponibilità e assorbimento dello zinco da parte dell'organismo.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 e capelli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condizioni cutanee (acne, eczema, eruzioni) e caduta dei capelli.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visione notturna ridotta e affaticamento oculare persistente.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Guarigione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guarigione molto lenta delle ferite.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Nella terapia complessa di neuriti, nevralgie e dolore neuropatico.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e bambini sopra i 6 anni — 1 capsula una volta al giorno durante i pasti. Il ciclo può essere ripetuto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