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Spirtomaks</w:t>
      </w:r>
    </w:p>
    <w:p>
      <w:pPr>
        <w:spacing w:after="160"/>
      </w:pPr>
      <w:r>
        <w:rPr>
          <w:sz w:val="22"/>
          <w:color w:val="6B7280"/>
        </w:rPr>
        <w:t xml:space="preserve">Una soluzione di alcol etilico al 96% per uso esterno. Un agente antisettico e disinfettante.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Formato e composizione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Formato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Soluzione per uso esterno, 20 / 50 / 1000 ml.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Composizione per 1 ml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Alcol etilico 96% — 0,414 ml
                <w:br/>
                Acqua depurata — fino a 1 ml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Proprietà dei principi attivi</w:t>
      </w:r>
    </w:p>
    <w:p>
      <w:pPr>
        <w:spacing w:after="20"/>
      </w:pPr>
      <w:r>
        <w:rPr>
          <w:b/>
          <w:sz w:val="22"/>
        </w:rPr>
        <w:t xml:space="preserve">Alcol etilico</w:t>
      </w:r>
    </w:p>
    <w:p>
      <w:pPr>
        <w:spacing w:after="120"/>
      </w:pPr>
      <w:r>
        <w:rPr>
          <w:sz w:val="22"/>
        </w:rPr>
        <w:t xml:space="preserve">Ha un marcato effetto antisettico e disinfettante contro batteri e virus.</w:t>
      </w:r>
    </w:p>
    <w:p>
      <w:pPr>
        <w:spacing w:after="20"/>
      </w:pPr>
      <w:r>
        <w:rPr>
          <w:b/>
          <w:sz w:val="22"/>
        </w:rPr>
        <w:t xml:space="preserve">Trattamento cutaneo</w:t>
      </w:r>
    </w:p>
    <w:p>
      <w:pPr>
        <w:spacing w:after="120"/>
      </w:pPr>
      <w:r>
        <w:rPr>
          <w:sz w:val="22"/>
        </w:rPr>
        <w:t xml:space="preserve">Usato per il trattamento antisettico della pelle prima di iniezioni e procedure.</w:t>
      </w:r>
    </w:p>
    <w:p>
      <w:pPr>
        <w:spacing w:after="20"/>
      </w:pPr>
      <w:r>
        <w:rPr>
          <w:b/>
          <w:sz w:val="22"/>
        </w:rPr>
        <w:t xml:space="preserve">Essiccazione</w:t>
      </w:r>
    </w:p>
    <w:p>
      <w:pPr>
        <w:spacing w:after="120"/>
      </w:pPr>
      <w:r>
        <w:rPr>
          <w:sz w:val="22"/>
        </w:rPr>
        <w:t xml:space="preserve">Asciuga e disinfetta la superficie cutanea.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Indicazioni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Antisepsi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Trattamento antisettico della pelle.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Prima delle procedure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Trattamento della pelle prima di iniezioni e manipolazioni.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Disinfezione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Disinfezione della superficie cutanea.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Igiene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Trattamento igienico.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Modalità d'uso e dosi</w:t>
      </w:r>
    </w:p>
    <w:p>
      <w:pPr>
        <w:spacing w:after="120"/>
      </w:pPr>
      <w:r>
        <w:rPr>
          <w:b/>
          <w:sz w:val="22"/>
        </w:rPr>
        <w:t xml:space="preserve">Solo per uso esterno. Applicare sulla pelle con un batuffolo di cotone. Vedere il foglietto per informazioni esatte.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Controindicazioni</w:t>
      </w:r>
    </w:p>
    <w:p>
      <w:pPr>
        <w:spacing w:after="120"/>
      </w:pPr>
      <w:r>
        <w:rPr>
          <w:sz w:val="22"/>
        </w:rPr>
        <w:t xml:space="preserve">Ipersensibilità. Solo per uso esterno. Non per uso interno.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Effetti collaterali</w:t>
      </w:r>
    </w:p>
    <w:p>
      <w:pPr>
        <w:spacing w:after="120"/>
      </w:pPr>
      <w:r>
        <w:rPr>
          <w:sz w:val="22"/>
        </w:rPr>
        <w:t xml:space="preserve">È possibile secchezza cutanea. Evitare il contatto con mucose e occhi.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Conservazione</w:t>
      </w:r>
    </w:p>
    <w:p>
      <w:pPr>
        <w:spacing w:after="120"/>
      </w:pPr>
      <w:r>
        <w:rPr>
          <w:sz w:val="22"/>
        </w:rPr>
        <w:t xml:space="preserve">Lontano dal fuoco, in luogo al riparo dalla luce, a non più di 25 °C.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Vendita</w:t>
      </w:r>
    </w:p>
    <w:p>
      <w:pPr>
        <w:spacing w:after="120"/>
      </w:pPr>
      <w:r>
        <w:rPr>
          <w:sz w:val="22"/>
        </w:rPr>
        <w:t xml:space="preserve">Prodotto cosmetico. Non è un medicinale. Disponibile senza ricetta.</w:t>
      </w:r>
    </w:p>
    <w:p>
      <w:pPr>
        <w:spacing w:after="120"/>
      </w:pPr>
      <w:r>
        <w:rPr>
          <w:sz w:val="18"/>
          <w:color w:val="6B7280"/>
        </w:rPr>
        <w:t xml:space="preserve">Prodotto cosmetico. Non è un medicinale. Solo per uso esterno. Produttore: LLC HVARA, Repubblica dell'Uzbekistan, regione di Khorezm, Urgench, Via I. Dusov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