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Tagilin</w:t>
      </w:r>
    </w:p>
    <w:p>
      <w:pPr>
        <w:spacing w:after="160"/>
      </w:pPr>
      <w:r>
        <w:rPr>
          <w:sz w:val="22"/>
          <w:color w:val="6B7280"/>
        </w:rPr>
        <w:t xml:space="preserve">Collirio con taurina e ialuronato di sodio. Stimolano il ripristino dei tessuti oculari in distrofia corneale e cataratta.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Collirio, flacone da 10 ml. Soluzione limpida e incolore.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Taurina — 5,0 mg
                <w:br/>
                Ialuronato di sodio — 2,0 mg
                <w:br/>
                Cloruro di sodio, fosfati, acqua depurata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Taurina</w:t>
      </w:r>
    </w:p>
    <w:p>
      <w:pPr>
        <w:spacing w:after="120"/>
      </w:pPr>
      <w:r>
        <w:rPr>
          <w:sz w:val="22"/>
        </w:rPr>
        <w:t xml:space="preserve">Un amminoacido che stimola i processi riparativi e rigenerativi nelle malattie distrofiche retiniche, nelle lesioni dei tessuti oculari e nei disturbi metabolici. Quasi non assorbita nel circolo sistemico.</w:t>
      </w:r>
    </w:p>
    <w:p>
      <w:pPr>
        <w:spacing w:after="20"/>
      </w:pPr>
      <w:r>
        <w:rPr>
          <w:b/>
          <w:sz w:val="22"/>
        </w:rPr>
        <w:t xml:space="preserve">Ialuronato di sodio</w:t>
      </w:r>
    </w:p>
    <w:p>
      <w:pPr>
        <w:spacing w:after="120"/>
      </w:pPr>
      <w:r>
        <w:rPr>
          <w:sz w:val="22"/>
        </w:rPr>
        <w:t xml:space="preserve">Migliora la stabilità del film lacrimale, mantiene la superficie oculare idratata e protetta e crea un ambiente favorevole al ripristino di cornea e congiuntiva.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La combinazione di idratazione e rigenerazione sostiene la salute della superficie oculare sotto sforzo.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Cornea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Lesioni e distrofia corneale.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Cataratta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Cataratta senile, diabetica, traumatica e da radiazioni.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Malattie distrofiche della retina.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Idratazione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e protezione della superficie oculare.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la cataratta — 1–2 gocce 2–4 volte al giorno per 3 mesi, cicli ripetuti a intervalli mensili. Per lesioni e distrofia corneale — stesse dosi per 1 mese. Dose stabilita individualmente.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componenti; bambini e adolescenti sotto i 18 anni; gravidanza e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Congiuntivite allergica. In caso di reazioni avverse,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Interazioni</w:t>
      </w:r>
    </w:p>
    <w:p>
      <w:pPr>
        <w:spacing w:after="120"/>
      </w:pPr>
      <w:r>
        <w:rPr>
          <w:sz w:val="22"/>
        </w:rPr>
        <w:t xml:space="preserve">Non usare contemporaneamente ad altri prodotti oftalmici; l'intervallo tra le instillazioni deve essere di almeno 15 minuti.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scadenza</w:t>
      </w:r>
    </w:p>
    <w:p>
      <w:pPr>
        <w:spacing w:after="120"/>
      </w:pPr>
      <w:r>
        <w:rPr>
          <w:sz w:val="22"/>
        </w:rPr>
        <w:t xml:space="preserve">A non oltre 25 °C. 2 anni; 1 mese dopo l'apertura. Disponibile senza ricetta.</w:t>
      </w:r>
    </w:p>
    <w:p>
      <w:pPr>
        <w:spacing w:after="120"/>
      </w:pPr>
      <w:r>
        <w:rPr>
          <w:sz w:val="18"/>
          <w:color w:val="6B7280"/>
        </w:rPr>
        <w:t xml:space="preserve">Dispositivo medico. Si raccomanda di consultare uno specialista prima dell'uso. Tenere fuori dalla portata dei bambini.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