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Tride</w:t>
      </w:r>
    </w:p>
    <w:p>
      <w:pPr>
        <w:spacing w:after="160"/>
      </w:pPr>
      <w:r>
        <w:rPr>
          <w:sz w:val="22"/>
          <w:color w:val="6B7280"/>
        </w:rPr>
        <w:t xml:space="preserve">Spray orale con vitamina D3. Dosaggio comodo per ossa forti e immunità in bambini e adulti.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Spray orale, 15 ml (125 dosi).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dose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Colecalciferolo (vit. D3) — 500 UI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Assorbimento del calcio</w:t>
      </w:r>
    </w:p>
    <w:p>
      <w:pPr>
        <w:spacing w:after="120"/>
      </w:pPr>
      <w:r>
        <w:rPr>
          <w:sz w:val="22"/>
        </w:rPr>
        <w:t xml:space="preserve">Garantisce l'assorbimento di calcio e fosforo, i principali macronutrienti per il tessuto osseo. Necessario per lo sviluppo di ossa e legamenti e per la salute di pelle, capelli, unghie e denti.</w:t>
      </w:r>
    </w:p>
    <w:p>
      <w:pPr>
        <w:spacing w:after="20"/>
      </w:pPr>
      <w:r>
        <w:rPr>
          <w:b/>
          <w:sz w:val="22"/>
        </w:rPr>
        <w:t xml:space="preserve">Metabolismo</w:t>
      </w:r>
    </w:p>
    <w:p>
      <w:pPr>
        <w:spacing w:after="120"/>
      </w:pPr>
      <w:r>
        <w:rPr>
          <w:sz w:val="22"/>
        </w:rPr>
        <w:t xml:space="preserve">Regola i processi metabolici nelle cellule, sostiene la coagulazione del sangue, migliora l'assorbimento dei carboidrati e previene la formazione di placche di colesterolo.</w:t>
      </w:r>
    </w:p>
    <w:p>
      <w:pPr>
        <w:spacing w:after="20"/>
      </w:pPr>
      <w:r>
        <w:rPr>
          <w:b/>
          <w:sz w:val="22"/>
        </w:rPr>
        <w:t xml:space="preserve">Immunità</w:t>
      </w:r>
    </w:p>
    <w:p>
      <w:pPr>
        <w:spacing w:after="120"/>
      </w:pPr>
      <w:r>
        <w:rPr>
          <w:sz w:val="22"/>
        </w:rPr>
        <w:t xml:space="preserve">Stimola il sistema immunitario, aiuta a combattere virus e batteri e riduce il rischio di processi autoimmuni.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Ossa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Normale sviluppo di ossa e legamenti nei bambini, salute muscolo-scheletrica negli adulti.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Stimola il sistema immunitario.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la sensibilità delle fibre nervose, sostiene il sistema nervoso.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 muscolare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Favorisce il tono muscolare.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Bambini — 1 dose (una pressione, 0,12 ml) in bocca una volta al giorno; adulti — 1 dose due volte al giorno durante i pasti. Ciclo: 1 mese.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