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Urovelin</w:t>
      </w:r>
    </w:p>
    <w:p>
      <w:pPr>
        <w:spacing w:after="160"/>
      </w:pPr>
      <w:r>
        <w:rPr>
          <w:sz w:val="22"/>
          <w:color w:val="6B7280"/>
        </w:rPr>
        <w:t xml:space="preserve">Capsule con estratti di ginseng e cistanche. Maggiore resistenza, tono e miglioramento della funzione sessuale maschile.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Capsule per uso orale 0,5 g, n.30.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Composizione per capsula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Estratto di radice di ginseng — 200 mg
                <w:br/>
                Estratto di cistanche — 270 mg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Ginseng</w:t>
      </w:r>
    </w:p>
    <w:p>
      <w:pPr>
        <w:spacing w:after="120"/>
      </w:pPr>
      <w:r>
        <w:rPr>
          <w:sz w:val="22"/>
        </w:rPr>
        <w:t xml:space="preserve">Uno degli adattogeni più potenti: stimola il SNC, aumenta le prestazioni mentali e fisiche, migliora memoria e concentrazione, sostiene l'immunità e aumenta i livelli di testosterone.</w:t>
      </w:r>
    </w:p>
    <w:p>
      <w:pPr>
        <w:spacing w:after="20"/>
      </w:pPr>
      <w:r>
        <w:rPr>
          <w:b/>
          <w:sz w:val="22"/>
        </w:rPr>
        <w:t xml:space="preserve">Cistanche</w:t>
      </w:r>
    </w:p>
    <w:p>
      <w:pPr>
        <w:spacing w:after="120"/>
      </w:pPr>
      <w:r>
        <w:rPr>
          <w:sz w:val="22"/>
        </w:rPr>
        <w:t xml:space="preserve">Un adattogeno tonificante: riduce la stanchezza, aumenta la resistenza, ha azione antiossidante e immunomodulante, migliora la circolazione e la funzione sessuale.</w:t>
      </w:r>
    </w:p>
    <w:p>
      <w:pPr>
        <w:spacing w:after="20"/>
      </w:pPr>
      <w:r>
        <w:rPr>
          <w:b/>
          <w:sz w:val="22"/>
        </w:rPr>
        <w:t xml:space="preserve">Sinergia dei componenti</w:t>
      </w:r>
    </w:p>
    <w:p>
      <w:pPr>
        <w:spacing w:after="120"/>
      </w:pPr>
      <w:r>
        <w:rPr>
          <w:sz w:val="22"/>
        </w:rPr>
        <w:t xml:space="preserve">Ginseng e cistanche aumentano i livelli di testosterone e la produzione di ossido nitrico, migliorando funzione erettile, potenza e libido. I due componenti ne potenziano l'azione reciproca.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Salute maschile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Migliora la funzione erettile, aumenta libido e potenza.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Resistenza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Stati astenici, sforzi fisici e mentali prolungati.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Prestazioni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Aumenta le prestazioni e la resistenza dell'organismo.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Tono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Distonia neurocircolatoria ipotonica (nell'ambito della terapia combinata).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Per uso orale durante i pasti. Adulti e maggiori di 18 anni — 1 capsula 1–2 volte al giorno. Ripetibile su consiglio dello specialista.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Ipersensibilità ai componenti, gravidanza, allattamento, età inferiore a 18 anni.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Effetti collaterali</w:t>
      </w:r>
    </w:p>
    <w:p>
      <w:pPr>
        <w:spacing w:after="120"/>
      </w:pPr>
      <w:r>
        <w:rPr>
          <w:sz w:val="22"/>
        </w:rPr>
        <w:t xml:space="preserve">In caso di effetti collaterali, interrompere l'uso e consultare un medico.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</w:t>
      </w:r>
    </w:p>
    <w:p>
      <w:pPr>
        <w:spacing w:after="120"/>
      </w:pPr>
      <w:r>
        <w:rPr>
          <w:sz w:val="22"/>
        </w:rPr>
        <w:t xml:space="preserve">In luogo asciutto e al riparo dalla luce, a non più di 25 °C. Tenere fuori dalla portata dei bambini.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Scadenza · vendita</w:t>
      </w:r>
    </w:p>
    <w:p>
      <w:pPr>
        <w:spacing w:after="120"/>
      </w:pPr>
      <w:r>
        <w:rPr>
          <w:sz w:val="22"/>
        </w:rPr>
        <w:t xml:space="preserve">24 mesi. Disponibile senza ricetta. Integratore alimentare, non è un medicinale.</w:t>
      </w:r>
    </w:p>
    <w:p>
      <w:pPr>
        <w:spacing w:after="120"/>
      </w:pPr>
      <w:r>
        <w:rPr>
          <w:sz w:val="18"/>
          <w:color w:val="6B7280"/>
        </w:rPr>
        <w:t xml:space="preserve">Integratore alimentare. Non è un medicinale. Si raccomanda di consultare uno specialista prima dell'uso. Non superare le dosi raccomandate. Non usare dopo la data di scadenza.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