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Viridin</w:t>
      </w:r>
    </w:p>
    <w:p>
      <w:pPr>
        <w:spacing w:after="160"/>
      </w:pPr>
      <w:r>
        <w:rPr>
          <w:sz w:val="22"/>
          <w:color w:val="6B7280"/>
        </w:rPr>
        <w:t xml:space="preserve">Gocce orali — un complesso flavonoide vegetale. Supporto immunitario e protezione dalle infezioni virali.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Gocce orali, 10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liquido Viridin® (flavonoidi ≥0,32 mg/ml, acidi carbossilici ≥0,30 mg/ml) dalle erbe Deschampsia caespitosa e Calamagrostis epigeios (1:1)
                <w:br/>
                Etanolo 96%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Complesso flavonoide</w:t>
      </w:r>
    </w:p>
    <w:p>
      <w:pPr>
        <w:spacing w:after="120"/>
      </w:pPr>
      <w:r>
        <w:rPr>
          <w:sz w:val="22"/>
        </w:rPr>
        <w:t xml:space="preserve">Composti bioattivi con proprietà antiossidanti che sostengono le difese fisiologiche dell'organismo e proteggono le strutture cellulari dai radicali liberi.</w:t>
      </w:r>
    </w:p>
    <w:p>
      <w:pPr>
        <w:spacing w:after="20"/>
      </w:pPr>
      <w:r>
        <w:rPr>
          <w:b/>
          <w:sz w:val="22"/>
        </w:rPr>
        <w:t xml:space="preserve">Azione immunotropica</w:t>
      </w:r>
    </w:p>
    <w:p>
      <w:pPr>
        <w:spacing w:after="120"/>
      </w:pPr>
      <w:r>
        <w:rPr>
          <w:sz w:val="22"/>
        </w:rPr>
        <w:t xml:space="preserve">Sostiene la normale funzione del sistema immunitario, protegge la mucosa delle vie respiratorie superiori e normalizza i marcatori dell'immunità locale (lattoferrina, IgA secretorie, lisozima).</w:t>
      </w:r>
    </w:p>
    <w:p>
      <w:pPr>
        <w:spacing w:after="20"/>
      </w:pPr>
      <w:r>
        <w:rPr>
          <w:b/>
          <w:sz w:val="22"/>
        </w:rPr>
        <w:t xml:space="preserve">Assorbimento rapido</w:t>
      </w:r>
    </w:p>
    <w:p>
      <w:pPr>
        <w:spacing w:after="120"/>
      </w:pPr>
      <w:r>
        <w:rPr>
          <w:sz w:val="22"/>
        </w:rPr>
        <w:t xml:space="preserve">I principi attivi vengono assorbiti rapidamente nel sangue, con concentrazione massima 20 minuti dopo l'assunzione. La biodisponibilità orale è dell'80%.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Herpes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Infezioni da virus herpes simplex (tipi 1 e 2), herpes zoster e varicella.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Virus Epstein-Barr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Forme acute e croniche delle infezioni da herpes tipo 4 e 5 (CMV).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Influenza e ARVI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e uso complesso in influenza e infezioni virali respiratorie acute.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HPV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Come parte della terapia complessa per le infezioni da papillomavirus.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Agitare prima dell'uso. Aggiungere la quantità necessaria all'acqua (1–2 cucchiai) e assumere 10–15 minuti prima dei pasti. Per l'uso topico, preparare una soluzione secondo le istruzioni. I dosaggi dettagliati per età e forma d'uso sono nelle istruzioni.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Ulcera gastrica o duodenale.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Raramente — reazioni allergiche (eruzioni, prurito), casi isolati di disturbi gastrointestinali; con l'uso topico — bruciore, prurito, secchezza.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Un aumento transitorio della temperatura fino a 38 °C non richiede l'interruzione. Per prevenire la reinfezione si raccomanda il trattamento simultaneo del partner.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 · vendita</w:t>
      </w:r>
    </w:p>
    <w:p>
      <w:pPr>
        <w:spacing w:after="120"/>
      </w:pPr>
      <w:r>
        <w:rPr>
          <w:sz w:val="22"/>
        </w:rPr>
        <w:t xml:space="preserve">In luogo asciutto e al riparo dalla luce, non oltre 25 °C. 24 mesi. Senza ricetta. Integratore, non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HVARA SRL, Piazza IV Novembre 4, Milano, Italia.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