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Vitadetrim</w:t>
      </w:r>
    </w:p>
    <w:p>
      <w:pPr>
        <w:spacing w:after="160"/>
      </w:pPr>
      <w:r>
        <w:rPr>
          <w:sz w:val="22"/>
          <w:color w:val="6B7280"/>
        </w:rPr>
        <w:t xml:space="preserve">Spray orale con vitamina D3 ed estratto di tè verde. Per crescita, immunità e ossa forti.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Liquido, 15 ml in flaconi spray di polimero o vetro.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Colecalciferolo (vit. D3) — 4000 UI
                <w:br/>
                Estratto di tè verde — 2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Vitamina D3</w:t>
      </w:r>
    </w:p>
    <w:p>
      <w:pPr>
        <w:spacing w:after="120"/>
      </w:pPr>
      <w:r>
        <w:rPr>
          <w:sz w:val="22"/>
        </w:rPr>
        <w:t xml:space="preserve">Regola il metabolismo di calcio e fosforo, importante per la divisione cellulare, lo sviluppo osseo, l'immunità, i muscoli e la funzione cerebrale. Favorisce l'assorbimento di calcio e fosforo.</w:t>
      </w:r>
    </w:p>
    <w:p>
      <w:pPr>
        <w:spacing w:after="20"/>
      </w:pPr>
      <w:r>
        <w:rPr>
          <w:b/>
          <w:sz w:val="22"/>
        </w:rPr>
        <w:t xml:space="preserve">Estratto di tè verde</w:t>
      </w:r>
    </w:p>
    <w:p>
      <w:pPr>
        <w:spacing w:after="120"/>
      </w:pPr>
      <w:r>
        <w:rPr>
          <w:sz w:val="22"/>
        </w:rPr>
        <w:t xml:space="preserve">Contiene polifenoli, vitamine e oligoelementi, favorisce il metabolismo, i sistemi nervoso e cardiovascolare e rafforza le pareti dei vasi.</w:t>
      </w:r>
    </w:p>
    <w:p>
      <w:pPr>
        <w:spacing w:after="20"/>
      </w:pPr>
      <w:r>
        <w:rPr>
          <w:b/>
          <w:sz w:val="22"/>
        </w:rPr>
        <w:t xml:space="preserve">Azione generale</w:t>
      </w:r>
    </w:p>
    <w:p>
      <w:pPr>
        <w:spacing w:after="120"/>
      </w:pPr>
      <w:r>
        <w:rPr>
          <w:sz w:val="22"/>
        </w:rPr>
        <w:t xml:space="preserve">Protegge dalla stanchezza cronica, sostiene il benessere psicologico in caso di nervosismo e favorisce la resistenza e il rafforzamento generale.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Crescita e ossa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Crescita e sviluppo dei bambini, formazione di scheletro e denti.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 rachitismo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il rischio di rachitismo.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il sistema cardiovascolare.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dalla stanchezza, sostiene la resistenza.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Spray orale. Bambini sopra 1 anno — 1 dose (400 UI) 1–2 volte al giorno; bambini sopra i 12 anni e adulti — 2 dosi (800 UI) 1–2 volte al giorno durante i pasti. Durata: 1–2 mesi.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