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Карнирад</w:t>
      </w:r>
    </w:p>
    <w:p>
      <w:pPr>
        <w:spacing w:after="160"/>
      </w:pPr>
      <w:r>
        <w:rPr>
          <w:sz w:val="22"/>
          <w:color w:val="6B7280"/>
        </w:rPr>
        <w:t xml:space="preserve">Раствор для приёма внутрь — левокарнитин, экстракт радиолы и витамин B12. Для снижения утомляемости и повышения работоспособности.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Раствор для приёма внутрь по 100 мл во флаконе с мерным стаканчиком.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1 мл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Левокарнитин — 100 мг
                <w:br/>
                Экстракт радиолы — 20 мг
                <w:br/>
                Витамин B12 — 0,5 мкг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L-карнитин</w:t>
      </w:r>
    </w:p>
    <w:p>
      <w:pPr>
        <w:spacing w:after="120"/>
      </w:pPr>
      <w:r>
        <w:rPr>
          <w:sz w:val="22"/>
        </w:rPr>
        <w:t xml:space="preserve">Природное вещество, родственное витаминам группы B. Обеспечивает транспорт жирных кислот в митохондрии, где они окисляются с образованием энергии (АТФ).</w:t>
      </w:r>
    </w:p>
    <w:p>
      <w:pPr>
        <w:spacing w:after="20"/>
      </w:pPr>
      <w:r>
        <w:rPr>
          <w:b/>
          <w:sz w:val="22"/>
        </w:rPr>
        <w:t xml:space="preserve">Экстракт радиолы</w:t>
      </w:r>
    </w:p>
    <w:p>
      <w:pPr>
        <w:spacing w:after="120"/>
      </w:pPr>
      <w:r>
        <w:rPr>
          <w:sz w:val="22"/>
        </w:rPr>
        <w:t xml:space="preserve">Стимулирующее средство при астенических состояниях, повышенной утомляемости, неврастении и вегето-сосудистой дистонии. Повышает работоспособность.</w:t>
      </w:r>
    </w:p>
    <w:p>
      <w:pPr>
        <w:spacing w:after="20"/>
      </w:pPr>
      <w:r>
        <w:rPr>
          <w:b/>
          <w:sz w:val="22"/>
        </w:rPr>
        <w:t xml:space="preserve">Витамин B12</w:t>
      </w:r>
    </w:p>
    <w:p>
      <w:pPr>
        <w:spacing w:after="120"/>
      </w:pPr>
      <w:r>
        <w:rPr>
          <w:sz w:val="22"/>
        </w:rPr>
        <w:t xml:space="preserve">Иммуномодулирующее и антиатеросклеротическое действие, восстановление нервной ткани, участие в синтезе аминокислот, обмене углеводов и липидов.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Иммунитет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Повышает иммунитет и сопротивляемость организма к инфекциям.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Детоксикация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Обладает выраженной детоксикационной активностью.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Бодрость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Профилактика быстрой утомляемости, повышение выносливости.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Память и стресс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Улучшает память, повышает устойчивость к стрессовым ситуациям.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Принимается внутрь. Детям — по 5 мл 1 раз в день; взрослым и детям старше 12 лет — по 10 мл 1 раз в день во время еды. Курс приёма — 2–3 недели. При необходимости по рекомендации специалиста курс можно повторить.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компонентам, беременность.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месяца. 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Не превышать рекомендуемые дозы. Ts 306766008-007:2023.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