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ЛевоАргин</w:t>
      </w:r>
    </w:p>
    <w:p>
      <w:pPr>
        <w:spacing w:after="160"/>
      </w:pPr>
      <w:r>
        <w:rPr>
          <w:sz w:val="22"/>
          <w:color w:val="6B7280"/>
        </w:rPr>
        <w:t xml:space="preserve">Раствор для приёма внутрь с L-карнитином и аргинином. Энергия, сосудистый тонус и поддержка сердца.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Раствор для приёма внутрь, 10 флаконов по 10 мл.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10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L-карнитин — 2,0 г
                <w:br/>
                Аргинин — 0,20 г
                <w:br/>
                Вспомогательные: вода очищенная.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L-карнитин</w:t>
      </w:r>
    </w:p>
    <w:p>
      <w:pPr>
        <w:spacing w:after="120"/>
      </w:pPr>
      <w:r>
        <w:rPr>
          <w:sz w:val="22"/>
        </w:rPr>
        <w:t xml:space="preserve">Обеспечивает транспорт жирных кислот в митохондрии для выработки энергии, снижает утомляемость, повышает физическую и умственную работоспособность.</w:t>
      </w:r>
    </w:p>
    <w:p>
      <w:pPr>
        <w:spacing w:after="20"/>
      </w:pPr>
      <w:r>
        <w:rPr>
          <w:b/>
          <w:sz w:val="22"/>
        </w:rPr>
        <w:t xml:space="preserve">Аргинин</w:t>
      </w:r>
    </w:p>
    <w:p>
      <w:pPr>
        <w:spacing w:after="120"/>
      </w:pPr>
      <w:r>
        <w:rPr>
          <w:sz w:val="22"/>
        </w:rPr>
        <w:t xml:space="preserve">Условно незаменимая аминокислота, предшественник оксида азота. Поддерживает тонус сосудов, микроциркуляцию и работу эндотелия.</w:t>
      </w:r>
    </w:p>
    <w:p>
      <w:pPr>
        <w:spacing w:after="20"/>
      </w:pPr>
      <w:r>
        <w:rPr>
          <w:b/>
          <w:sz w:val="22"/>
        </w:rPr>
        <w:t xml:space="preserve">Совместное действие</w:t>
      </w:r>
    </w:p>
    <w:p>
      <w:pPr>
        <w:spacing w:after="120"/>
      </w:pPr>
      <w:r>
        <w:rPr>
          <w:sz w:val="22"/>
        </w:rPr>
        <w:t xml:space="preserve">Комбинация поддерживает энергетический обмен, сердечно-сосудистую систему и общий тонус организма при нагрузках.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Энергия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Снижение утомляемости, повышение работоспособности.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Сердце и сосуды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сердечно-сосудистой системы и микроциркуляции.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Тонус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общего тонуса при физических и умственных нагрузках.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Обмен веществ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Участие в энергетическом обмене.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Принимать внутрь. Содержимое флакона (10 мл) принимать согласно инструкции. Точную дозировку и продолжительность курса уточняйте в инструкции к препарату или у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защищённом от света месте, при температуре не выше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 года. Отпускается без рецепта.</w:t>
      </w:r>
    </w:p>
    <w:p>
      <w:pPr>
        <w:spacing w:after="120"/>
      </w:pPr>
      <w:r>
        <w:rPr>
          <w:sz w:val="18"/>
          <w:color w:val="6B7280"/>
        </w:rPr>
        <w:t xml:space="preserve">Перед применением необходимо ознакомиться с инструкцией. Производитель: ООО «HVARA», 220100,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