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Левохвартин</w:t>
      </w:r>
    </w:p>
    <w:p>
      <w:pPr>
        <w:spacing w:after="160"/>
      </w:pPr>
      <w:r>
        <w:rPr>
          <w:sz w:val="22"/>
          <w:color w:val="6B7280"/>
        </w:rPr>
        <w:t xml:space="preserve">Капли для приёма внутрь с левокарнитином, магнием и экстрактом зелёного чая. Энергия, тонус и поддержка сердца.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Жидкость (капли для приёма внутрь) в полимерных или стеклянных флаконах.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Левокарнитин — 90 мг
                <w:br/>
                Магний лактат — 15 мг
                <w:br/>
                Экстракт зелёного чая — 2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Левокарнитин</w:t>
      </w:r>
    </w:p>
    <w:p>
      <w:pPr>
        <w:spacing w:after="120"/>
      </w:pPr>
      <w:r>
        <w:rPr>
          <w:sz w:val="22"/>
        </w:rPr>
        <w:t xml:space="preserve">Регулирует обмен веществ, обладает анаболической, антигипоксической и антиоксидантной активностью, усиливает выработку энергии, нормализует уровень холестерина.</w:t>
      </w:r>
    </w:p>
    <w:p>
      <w:pPr>
        <w:spacing w:after="20"/>
      </w:pPr>
      <w:r>
        <w:rPr>
          <w:b/>
          <w:sz w:val="22"/>
        </w:rPr>
        <w:t xml:space="preserve">Магний</w:t>
      </w:r>
    </w:p>
    <w:p>
      <w:pPr>
        <w:spacing w:after="120"/>
      </w:pPr>
      <w:r>
        <w:rPr>
          <w:sz w:val="22"/>
        </w:rPr>
        <w:t xml:space="preserve">Жизненно важный элемент, участвует в большинстве реакций обмена веществ, в регуляции передачи нервных импульсов и сокращении мышц.</w:t>
      </w:r>
    </w:p>
    <w:p>
      <w:pPr>
        <w:spacing w:after="20"/>
      </w:pPr>
      <w:r>
        <w:rPr>
          <w:b/>
          <w:sz w:val="22"/>
        </w:rPr>
        <w:t xml:space="preserve">Экстракт зелёного чая</w:t>
      </w:r>
    </w:p>
    <w:p>
      <w:pPr>
        <w:spacing w:after="120"/>
      </w:pPr>
      <w:r>
        <w:rPr>
          <w:sz w:val="22"/>
        </w:rPr>
        <w:t xml:space="preserve">Содержит полифенолы, витамины и микроэлементы; благотворно влияет на обмен веществ, нервную и сердечно-сосудистую системы, укрепляет стенки сосудов.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Сердце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работы сердца при повышенных нагрузках.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Энергия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утомляемости, повышение работоспособности.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Восстановление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Ускоряет восстановление после тренировок.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Улучшает аппетит, тонус и придаёт бодрость.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Детям с 6 лет — по 15 капель 2–3 раза в день; взрослым — по 25–30 капель 2–3 раза в день. Продолжительность приёма — 2–3 недели. При беременности и кормлении грудью — по рекомендации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детям до 6 лет.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Не является лекарством.</w:t>
      </w:r>
    </w:p>
    <w:p>
      <w:pPr>
        <w:spacing w:after="120"/>
      </w:pPr>
      <w:r>
        <w:rPr>
          <w:sz w:val="18"/>
          <w:color w:val="6B7280"/>
        </w:rPr>
        <w:t xml:space="preserve">Не является лекарством. Перед применением рекомендуется проконсультироваться со специалистом. Ts 306766008-001:2020. Производитель: ООО «HVARA», 220100,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