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40"/>
      </w:pPr>
      <w:r>
        <w:rPr>
          <w:b/>
          <w:sz w:val="36"/>
          <w:color w:val="1F2937"/>
        </w:rPr>
        <w:t xml:space="preserve">Линоцитин</w:t>
      </w:r>
    </w:p>
    <w:p>
      <w:pPr>
        <w:spacing w:after="160"/>
      </w:pPr>
      <w:r>
        <w:rPr>
          <w:sz w:val="22"/>
          <w:color w:val="6B7280"/>
        </w:rPr>
        <w:t xml:space="preserve">Гель для приёма внутрь с цитиколином в саше-стиках. Поддержка памяти, когнитивных функций и здоровья мозга.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Форма выпуска и состав</w:t>
      </w:r>
    </w:p>
    <w:tbl>
      <w:tblPr>
        <w:tblW w:w="0" w:type="auto"/>
        <w:tblBorders>
          <w:top w:val="single" w:sz="4" w:color="D9A87E"/>
          <w:left w:val="single" w:sz="4" w:color="D9A87E"/>
          <w:bottom w:val="single" w:sz="4" w:color="D9A87E"/>
          <w:right w:val="single" w:sz="4" w:color="D9A87E"/>
          <w:insideH w:val="single" w:sz="4" w:color="D9A87E"/>
          <w:insideV w:val="single" w:sz="4" w:color="D9A87E"/>
        </w:tblBorders>
      </w:tblPr>
      <w:tblGrid>
        <w:gridCol w:w="3200"/>
        <w:gridCol w:w="6400"/>
      </w:tblGrid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Форма выпуска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Гель для приёма внутрь в саше-стиках по 10 мл, №10.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Состав 1 саше (10 мл)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
                Цитиколин — 500 мг
                <w:br/>
                Вспомогательные: мальтодекстрин, карбомер, ароматизатор, калия сорбат, очищенная вода.
              </w:t>
            </w:r>
          </w:p>
        </w:tc>
      </w:tr>
    </w:tbl>
    <w:p>
      <w:pPr>
        <w:spacing w:after="60"/>
      </w:pPr>
      <w:r>
        <w:rPr>
          <w:sz w:val="22"/>
        </w:rPr>
        <w:t xml:space="preserve"/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Свойства активных веществ</w:t>
      </w:r>
    </w:p>
    <w:p>
      <w:pPr>
        <w:spacing w:after="20"/>
      </w:pPr>
      <w:r>
        <w:rPr>
          <w:b/>
          <w:sz w:val="22"/>
        </w:rPr>
        <w:t xml:space="preserve">Цитиколин</w:t>
      </w:r>
    </w:p>
    <w:p>
      <w:pPr>
        <w:spacing w:after="120"/>
      </w:pPr>
      <w:r>
        <w:rPr>
          <w:sz w:val="22"/>
        </w:rPr>
        <w:t xml:space="preserve">Производное холина и цитидина, участвующее в биосинтезе лецитина — важного компонента клеточных мембран. Улучшает мозговой кровоток и потребление мозгом кислорода.</w:t>
      </w:r>
    </w:p>
    <w:p>
      <w:pPr>
        <w:spacing w:after="20"/>
      </w:pPr>
      <w:r>
        <w:rPr>
          <w:b/>
          <w:sz w:val="22"/>
        </w:rPr>
        <w:t xml:space="preserve">Когнитивные функции</w:t>
      </w:r>
    </w:p>
    <w:p>
      <w:pPr>
        <w:spacing w:after="120"/>
      </w:pPr>
      <w:r>
        <w:rPr>
          <w:sz w:val="22"/>
        </w:rPr>
        <w:t xml:space="preserve">Восстанавливает мембраны клеток мозга и укрепляет связи между нервными клетками, поддерживая память, внимание и сосредоточенность.</w:t>
      </w:r>
    </w:p>
    <w:p>
      <w:pPr>
        <w:spacing w:after="20"/>
      </w:pPr>
      <w:r>
        <w:rPr>
          <w:b/>
          <w:sz w:val="22"/>
        </w:rPr>
        <w:t xml:space="preserve">Ноотроп</w:t>
      </w:r>
    </w:p>
    <w:p>
      <w:pPr>
        <w:spacing w:after="120"/>
      </w:pPr>
      <w:r>
        <w:rPr>
          <w:sz w:val="22"/>
        </w:rPr>
        <w:t xml:space="preserve">Предпочтителен в восстановлении после инсульта, при возрастных проблемах с памятью и для защиты функций мозга. Имеет потенциал в улучшении зрительных функций.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Показания к применению</w:t>
      </w:r>
    </w:p>
    <w:tbl>
      <w:tblPr>
        <w:tblW w:w="0" w:type="auto"/>
        <w:tblBorders>
          <w:top w:val="single" w:sz="4" w:color="D9A87E"/>
          <w:left w:val="single" w:sz="4" w:color="D9A87E"/>
          <w:bottom w:val="single" w:sz="4" w:color="D9A87E"/>
          <w:right w:val="single" w:sz="4" w:color="D9A87E"/>
          <w:insideH w:val="single" w:sz="4" w:color="D9A87E"/>
          <w:insideV w:val="single" w:sz="4" w:color="D9A87E"/>
        </w:tblBorders>
      </w:tblPr>
      <w:tblGrid>
        <w:gridCol w:w="3200"/>
        <w:gridCol w:w="6400"/>
      </w:tblGrid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Память и внимание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Снижение памяти и концентрации, другие когнитивные нарушения.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После инсульта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Реабилитация после цереброваскулярных нарушений (ишемический инсульт).</w:t>
            </w:r>
          </w:p>
        </w:tc>
      </w:tr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После травм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Восстановительный период после черепно-мозговых травм.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Сосудистые изменения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Поведенческие расстройства и снижение умственной работоспособности.</w:t>
            </w:r>
          </w:p>
        </w:tc>
      </w:tr>
    </w:tbl>
    <w:p>
      <w:pPr>
        <w:spacing w:after="60"/>
      </w:pPr>
      <w:r>
        <w:rPr>
          <w:sz w:val="22"/>
        </w:rPr>
        <w:t xml:space="preserve"/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Способ применения и дозы</w:t>
      </w:r>
    </w:p>
    <w:p>
      <w:pPr>
        <w:spacing w:after="120"/>
      </w:pPr>
      <w:r>
        <w:rPr>
          <w:b/>
          <w:sz w:val="22"/>
        </w:rPr>
        <w:t xml:space="preserve">Принимать внутрь во время или сразу после еды. Цитиколин — 500–1000 мг в сутки, в 1–2 приёма. Режим и продолжительность определяются врачом индивидуально; рекомендуемая продолжительность курса — 3 месяца.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Противопоказания</w:t>
      </w:r>
    </w:p>
    <w:p>
      <w:pPr>
        <w:spacing w:after="120"/>
      </w:pPr>
      <w:r>
        <w:rPr>
          <w:sz w:val="22"/>
        </w:rPr>
        <w:t xml:space="preserve">При беременности, кормлении грудью и в детском возрасте — после консультации со специалистом. Индивидуальная чувствительность к компонентам.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Побочные действия</w:t>
      </w:r>
    </w:p>
    <w:p>
      <w:pPr>
        <w:spacing w:after="120"/>
      </w:pPr>
      <w:r>
        <w:rPr>
          <w:sz w:val="22"/>
        </w:rPr>
        <w:t xml:space="preserve">Возможны индивидуальные реакции повышенной чувствительности к компонентам.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Условия хранения</w:t>
      </w:r>
    </w:p>
    <w:p>
      <w:pPr>
        <w:spacing w:after="120"/>
      </w:pPr>
      <w:r>
        <w:rPr>
          <w:sz w:val="22"/>
        </w:rPr>
        <w:t xml:space="preserve">При температуре не выше 25 °C, в недоступном для детей месте.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Срок годности · отпуск</w:t>
      </w:r>
    </w:p>
    <w:p>
      <w:pPr>
        <w:spacing w:after="120"/>
      </w:pPr>
      <w:r>
        <w:rPr>
          <w:sz w:val="22"/>
        </w:rPr>
        <w:t xml:space="preserve">24 месяца. Отпускается без рецепта. БАД, не является лекарственным средством.</w:t>
      </w:r>
    </w:p>
    <w:p>
      <w:pPr>
        <w:spacing w:after="120"/>
      </w:pPr>
      <w:r>
        <w:rPr>
          <w:sz w:val="18"/>
          <w:color w:val="6B7280"/>
        </w:rPr>
        <w:t xml:space="preserve">БАД. Не является лекарственным средством. Перед применением рекомендуется консультация специалиста. Произведено по заказу LOFTPHARM İLAÇ A.Ş., İstanbul, Türkiye. Производитель: ООО «HVARA», Республика Узбекистан, Хорезмская обл., г. Ургенч, ул. И. Дусова, д. 117.</w:t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</w:rPr>
    </w:rPrDefault>
  </w:docDefaults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