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МалоксиМАКС</w:t>
      </w:r>
    </w:p>
    <w:p>
      <w:pPr>
        <w:spacing w:after="160"/>
      </w:pPr>
      <w:r>
        <w:rPr>
          <w:sz w:val="22"/>
          <w:color w:val="6B7280"/>
        </w:rPr>
        <w:t xml:space="preserve">Суспензия-антацид в саше. Помощь при изжоге и болях в желудке. Со вкусом мяты.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Суспензия для приёма внутрь, по 15 мл,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Магния гидроксид (гель) — 600 мг
                <w:br/>
                Алюминия гидроксид (гель) — 525 мг
                <w:br/>
                Масло мяты, лимонная кислота, маннитол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Нейтрализация кислоты</w:t>
      </w:r>
    </w:p>
    <w:p>
      <w:pPr>
        <w:spacing w:after="120"/>
      </w:pPr>
      <w:r>
        <w:rPr>
          <w:sz w:val="22"/>
        </w:rPr>
        <w:t xml:space="preserve">Алюминия и магния гидроксид нейтрализуют свободную соляную кислоту желудочного сока, не вызывая вторичной гиперсекреции. Комбинация сбалансирована и уменьшает побочные эффекты.</w:t>
      </w:r>
    </w:p>
    <w:p>
      <w:pPr>
        <w:spacing w:after="20"/>
      </w:pPr>
      <w:r>
        <w:rPr>
          <w:b/>
          <w:sz w:val="22"/>
        </w:rPr>
        <w:t xml:space="preserve">Снижение пепсина</w:t>
      </w:r>
    </w:p>
    <w:p>
      <w:pPr>
        <w:spacing w:after="120"/>
      </w:pPr>
      <w:r>
        <w:rPr>
          <w:sz w:val="22"/>
        </w:rPr>
        <w:t xml:space="preserve">Повышение pH желудочного сока приводит к снижению активности пепсина.</w:t>
      </w:r>
    </w:p>
    <w:p>
      <w:pPr>
        <w:spacing w:after="20"/>
      </w:pPr>
      <w:r>
        <w:rPr>
          <w:b/>
          <w:sz w:val="22"/>
        </w:rPr>
        <w:t xml:space="preserve">Защита слизистой</w:t>
      </w:r>
    </w:p>
    <w:p>
      <w:pPr>
        <w:spacing w:after="120"/>
      </w:pPr>
      <w:r>
        <w:rPr>
          <w:sz w:val="22"/>
        </w:rPr>
        <w:t xml:space="preserve">Обладает адсорбирующим и обволакивающим действием, уменьшая воздействие повреждающих факторов на слизистую пищевода и желудка.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Изжога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изжоге и дискомфорте в эпигастрии, в т.ч. при погрешностях в диете.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Гастрит и язва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Острый гастродуоденит, язвенная болезнь в фазе обострения.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Рефлюкс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Рефлюкс-эзофагит, грыжа пищеводного отверстия диафрагмы.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Диспепсия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диспепсии при приёме НПВС и ГКС.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Дети старше 15 лет и взрослые — содержимое 1–2 пакетиков (15–30 мл) через 1–1,5 ч после еды или при изжоге. При необходимости — дополнительная доза через 2 ч. Максимум — 12 пакетиков (180 мл) в сутки. Курс — не более 2–3 месяцев.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Беременность и кормление грудью, гипофосфатемия, тяжёлая почечная недостаточность, непереносимость фруктозы, возраст до 15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Нечасто — диарея, запор. Возможны реакции гиперчувствительности. При длительном приёме высоких доз — нарушения минерального обмена.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Произведено по заказу «Hvara» SRL, Milano, Italy.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