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Мастопар Био</w:t>
      </w:r>
    </w:p>
    <w:p>
      <w:pPr>
        <w:spacing w:after="160"/>
      </w:pPr>
      <w:r>
        <w:rPr>
          <w:sz w:val="22"/>
          <w:color w:val="6B7280"/>
        </w:rPr>
        <w:t xml:space="preserve">Крем на гелевой основе — комплексное средство для профилактики мастопатии.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Крем на гелевой основе, туба 50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Назначение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Комплексное средство для профилактики мастопатии.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Комплексное действие</w:t>
      </w:r>
    </w:p>
    <w:p>
      <w:pPr>
        <w:spacing w:after="120"/>
      </w:pPr>
      <w:r>
        <w:rPr>
          <w:sz w:val="22"/>
        </w:rPr>
        <w:t xml:space="preserve">Растительные компоненты способствуют нормализации состояния тканей молочных желёз.</w:t>
      </w:r>
    </w:p>
    <w:p>
      <w:pPr>
        <w:spacing w:after="20"/>
      </w:pPr>
      <w:r>
        <w:rPr>
          <w:b/>
          <w:sz w:val="22"/>
        </w:rPr>
        <w:t xml:space="preserve">Гелевая основа</w:t>
      </w:r>
    </w:p>
    <w:p>
      <w:pPr>
        <w:spacing w:after="120"/>
      </w:pPr>
      <w:r>
        <w:rPr>
          <w:sz w:val="22"/>
        </w:rPr>
        <w:t xml:space="preserve">Лёгкая гелевая основа быстро впитывается, удобна для нанесения.</w:t>
      </w:r>
    </w:p>
    <w:p>
      <w:pPr>
        <w:spacing w:after="20"/>
      </w:pPr>
      <w:r>
        <w:rPr>
          <w:b/>
          <w:sz w:val="22"/>
        </w:rPr>
        <w:t xml:space="preserve">Местное применение</w:t>
      </w:r>
    </w:p>
    <w:p>
      <w:pPr>
        <w:spacing w:after="120"/>
      </w:pPr>
      <w:r>
        <w:rPr>
          <w:sz w:val="22"/>
        </w:rPr>
        <w:t xml:space="preserve">Воздействует локально на область молочных желёз.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Мастопатия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мастопатии.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Молочные железы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здоровья молочных желёз.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Дискомфорт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Уменьшение дискомфорта в области груди.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Уход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Местный уход за тканями груди.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кожу в области молочных желёз.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 При заболеваниях молочных желёз — после консультации с врачом.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реакции. При появлении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