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Микролайф</w:t>
      </w:r>
    </w:p>
    <w:p>
      <w:pPr>
        <w:spacing w:after="160"/>
      </w:pPr>
      <w:r>
        <w:rPr>
          <w:sz w:val="22"/>
          <w:color w:val="6B7280"/>
        </w:rPr>
        <w:t xml:space="preserve">Порошок для приготовления суспензии, обогащённый цинком. Регуляция работы кишечника и поддержка пищеварения.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Форма выпуска и состав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Форма выпуска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Порошок для приготовления суспензии, ампулы по 15 мл.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Особенность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Обогащён цинком (Zn). Отпускается без рецепта.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Свойства активных веществ</w:t>
      </w:r>
    </w:p>
    <w:p>
      <w:pPr>
        <w:spacing w:after="20"/>
      </w:pPr>
      <w:r>
        <w:rPr>
          <w:b/>
          <w:sz w:val="22"/>
        </w:rPr>
        <w:t xml:space="preserve">Цинк</w:t>
      </w:r>
    </w:p>
    <w:p>
      <w:pPr>
        <w:spacing w:after="120"/>
      </w:pPr>
      <w:r>
        <w:rPr>
          <w:sz w:val="22"/>
        </w:rPr>
        <w:t xml:space="preserve">Участвует в обменных процессах, поддерживает работу кишечника, иммунитет и регенерацию слизистой.</w:t>
      </w:r>
    </w:p>
    <w:p>
      <w:pPr>
        <w:spacing w:after="20"/>
      </w:pPr>
      <w:r>
        <w:rPr>
          <w:b/>
          <w:sz w:val="22"/>
        </w:rPr>
        <w:t xml:space="preserve">Регуляция кишечника</w:t>
      </w:r>
    </w:p>
    <w:p>
      <w:pPr>
        <w:spacing w:after="120"/>
      </w:pPr>
      <w:r>
        <w:rPr>
          <w:sz w:val="22"/>
        </w:rPr>
        <w:t xml:space="preserve">Способствует регуляции физиологии толстой кишки и размягчению стула в медицинских целях.</w:t>
      </w:r>
    </w:p>
    <w:p>
      <w:pPr>
        <w:spacing w:after="20"/>
      </w:pPr>
      <w:r>
        <w:rPr>
          <w:b/>
          <w:sz w:val="22"/>
        </w:rPr>
        <w:t xml:space="preserve">Поддержка ЖКТ</w:t>
      </w:r>
    </w:p>
    <w:p>
      <w:pPr>
        <w:spacing w:after="120"/>
      </w:pPr>
      <w:r>
        <w:rPr>
          <w:sz w:val="22"/>
        </w:rPr>
        <w:t xml:space="preserve">Применяется при лечении печёночной комы или прекомы и для нормализации работы кишечника.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Показания к применению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Кишечник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Регуляция физиологии толстой кишки.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Стул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Размягчение стула в медицинских целях.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Печень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Поддержка при печёночной коме или прекоме.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Пищеварение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Нормализация пищеварения.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Способ применения и дозы</w:t>
      </w:r>
    </w:p>
    <w:p>
      <w:pPr>
        <w:spacing w:after="120"/>
      </w:pPr>
      <w:r>
        <w:rPr>
          <w:b/>
          <w:sz w:val="22"/>
        </w:rPr>
        <w:t xml:space="preserve">Содержимое ампулы развести согласно инструкции и принимать внутрь. Точную дозировку и продолжительность курса уточняйте в инструкции к препарату или у специалиста.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Противопоказания</w:t>
      </w:r>
    </w:p>
    <w:p>
      <w:pPr>
        <w:spacing w:after="120"/>
      </w:pPr>
      <w:r>
        <w:rPr>
          <w:sz w:val="22"/>
        </w:rPr>
        <w:t xml:space="preserve">Индивидуальная непереносимость компонентов.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Побочные действия</w:t>
      </w:r>
    </w:p>
    <w:p>
      <w:pPr>
        <w:spacing w:after="120"/>
      </w:pPr>
      <w:r>
        <w:rPr>
          <w:sz w:val="22"/>
        </w:rPr>
        <w:t xml:space="preserve">При появлении побочных действий следует прекратить применение и обратиться к врачу.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Условия хранения</w:t>
      </w:r>
    </w:p>
    <w:p>
      <w:pPr>
        <w:spacing w:after="120"/>
      </w:pPr>
      <w:r>
        <w:rPr>
          <w:sz w:val="22"/>
        </w:rPr>
        <w:t xml:space="preserve">При температуре не выше 25 °C, в недоступном для детей месте.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Отпуск</w:t>
      </w:r>
    </w:p>
    <w:p>
      <w:pPr>
        <w:spacing w:after="120"/>
      </w:pPr>
      <w:r>
        <w:rPr>
          <w:sz w:val="22"/>
        </w:rPr>
        <w:t xml:space="preserve">Отпускается без рецепта. БАД, не является лекарственным средством.</w:t>
      </w:r>
    </w:p>
    <w:p>
      <w:pPr>
        <w:spacing w:after="120"/>
      </w:pPr>
      <w:r>
        <w:rPr>
          <w:sz w:val="18"/>
          <w:color w:val="6B7280"/>
        </w:rPr>
        <w:t xml:space="preserve">БАД. Не является лекарственным средством. Перед применением рекомендуется консультация специалиста. Производитель: ООО «HVARA», Республика Узбекистан, Хорезмская обл., г. Ургенч, ул. И. Дусова, д.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