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Мио инофол</w:t>
      </w:r>
    </w:p>
    <w:p>
      <w:pPr>
        <w:spacing w:after="160"/>
      </w:pPr>
      <w:r>
        <w:rPr>
          <w:sz w:val="22"/>
          <w:color w:val="6B7280"/>
        </w:rPr>
        <w:t xml:space="preserve">Капсулы с мио-инозитолом и фолиевой кислотой. Гормональный баланс, регуляция цикла и подготовка к беременности.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Мио-инозитол — 500 мг
                <w:br/>
                Фолиевая кислота (вит. B9) — 100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Мио-инозитол</w:t>
      </w:r>
    </w:p>
    <w:p>
      <w:pPr>
        <w:spacing w:after="120"/>
      </w:pPr>
      <w:r>
        <w:rPr>
          <w:sz w:val="22"/>
        </w:rPr>
        <w:t xml:space="preserve">Обеспечивает работу рецепторов половых гормонов и инсулина, поддерживает баланс женских гормонов, нормализует уровень андрогенов и пролактина, устраняет проявления гиперандрогении (включая СПКЯ).</w:t>
      </w:r>
    </w:p>
    <w:p>
      <w:pPr>
        <w:spacing w:after="20"/>
      </w:pPr>
      <w:r>
        <w:rPr>
          <w:b/>
          <w:sz w:val="22"/>
        </w:rPr>
        <w:t xml:space="preserve">Регуляция цикла</w:t>
      </w:r>
    </w:p>
    <w:p>
      <w:pPr>
        <w:spacing w:after="120"/>
      </w:pPr>
      <w:r>
        <w:rPr>
          <w:sz w:val="22"/>
        </w:rPr>
        <w:t xml:space="preserve">Участвует в регуляции менструального цикла и способствует его нормализации, играет роль в созревании яйцеклетки при подготовке к оплодотворению, снижает инсулинорезистентность.</w:t>
      </w:r>
    </w:p>
    <w:p>
      <w:pPr>
        <w:spacing w:after="20"/>
      </w:pPr>
      <w:r>
        <w:rPr>
          <w:b/>
          <w:sz w:val="22"/>
        </w:rPr>
        <w:t xml:space="preserve">Фолиевая кислота</w:t>
      </w:r>
    </w:p>
    <w:p>
      <w:pPr>
        <w:spacing w:after="120"/>
      </w:pPr>
      <w:r>
        <w:rPr>
          <w:sz w:val="22"/>
        </w:rPr>
        <w:t xml:space="preserve">Необходима для клеточного деления, роста кровеносной и иммунной систем. Рекомендуется при планировании беременности и в первом триместре для гармоничного развития плода.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Менструальный цикл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нарушениях менструального цикла.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ПМС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предменструальном синдроме.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СПКЯ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Гиперандрогения, синдром поликистозных яичников.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Планирование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 период предгравидарной подготовки.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Взрослым и детям старше 12 лет — по 1 капсуле 1–4 раза в сутки. Продолжительность приёма — 30 дней. Начало приёма возможно с любого дня цикла. При необходимости по рекомендации специалиста приём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детям до 12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Беременным и кормящим — по согласованию и под наблюдением врача. Перед применением рекомендуется консультация специалиста. Не использовать после истечения срока годности.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