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Нейрогил</w:t>
      </w:r>
    </w:p>
    <w:p>
      <w:pPr>
        <w:spacing w:after="160"/>
      </w:pPr>
      <w:r>
        <w:rPr>
          <w:sz w:val="22"/>
          <w:color w:val="6B7280"/>
        </w:rPr>
        <w:t xml:space="preserve">Глазные капли с гиалуронатом натрия и цитиколином. Офтальмологический нейропротектор с увлажняющим и защитным действием.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Капли глазные по 10 мл во флаконе. Прозрачный бесцветный раствор.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на 1 мл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Гиалуронат натрия — 2,0 мг
                <w:br/>
                Цитиколин натрия — 20,0 мг
                <w:br/>
                Натрия хлорид, фосфаты, вода очищенная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Гиалуронат натрия</w:t>
      </w:r>
    </w:p>
    <w:p>
      <w:pPr>
        <w:spacing w:after="120"/>
      </w:pPr>
      <w:r>
        <w:rPr>
          <w:sz w:val="22"/>
        </w:rPr>
        <w:t xml:space="preserve">Улучшает стабильность слёзной плёнки, сохраняет глазную поверхность увлажнённой и защищённой, создаёт благоприятную среду для восстановления эпителия роговицы и конъюнктивы.</w:t>
      </w:r>
    </w:p>
    <w:p>
      <w:pPr>
        <w:spacing w:after="20"/>
      </w:pPr>
      <w:r>
        <w:rPr>
          <w:b/>
          <w:sz w:val="22"/>
        </w:rPr>
        <w:t xml:space="preserve">Цитиколин</w:t>
      </w:r>
    </w:p>
    <w:p>
      <w:pPr>
        <w:spacing w:after="120"/>
      </w:pPr>
      <w:r>
        <w:rPr>
          <w:sz w:val="22"/>
        </w:rPr>
        <w:t xml:space="preserve">Оказывает структурную поддержку в восстановлении целостности клеточных мембран, повреждённых при дегенеративных глазных патологиях (например, глаукоме).</w:t>
      </w:r>
    </w:p>
    <w:p>
      <w:pPr>
        <w:spacing w:after="20"/>
      </w:pPr>
      <w:r>
        <w:rPr>
          <w:b/>
          <w:sz w:val="22"/>
        </w:rPr>
        <w:t xml:space="preserve">Нейропротекция</w:t>
      </w:r>
    </w:p>
    <w:p>
      <w:pPr>
        <w:spacing w:after="120"/>
      </w:pPr>
      <w:r>
        <w:rPr>
          <w:sz w:val="22"/>
        </w:rPr>
        <w:t xml:space="preserve">Нейромедиаторное, антидегенеративное, антиоксидантное и метаболическое действие, улучшение микроциркуляции глаза.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Сухой глаз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Раздражение, жжение, ощущение инородного тела от внешних факторов.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Глаукома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Профилактика при глаукоме и глаукоматозной нейропатии.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Ретинопатии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Диабетическая ретинопатия, макулодистрофия, изменения глазного дна.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После операций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До и после кераторефракционных операций (LASIK и др.).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По 1 капле 2–3 раза в сутки или по назначению врача. После закапывания подождать 10–15 минут перед использованием других офтальмологических средств. Использовать в течение 1 месяца после вскрытия.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Повышенная чувствительность к компонентам продукта.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Возможна временная нечёткость зрения после закапывания. При нежелательных реакциях прекратить применение и обратиться к врачу.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В сухом, защищённом от света месте, при температуре не выше 25 °C. Не касаться кончиком дозатора глаза и предметов.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Срок годности · отпуск</w:t>
      </w:r>
    </w:p>
    <w:p>
      <w:pPr>
        <w:spacing w:after="120"/>
      </w:pPr>
      <w:r>
        <w:rPr>
          <w:sz w:val="22"/>
        </w:rPr>
        <w:t xml:space="preserve">2 года; после вскрытия — 1 месяц. Отпускается без рецепта.</w:t>
      </w:r>
    </w:p>
    <w:p>
      <w:pPr>
        <w:spacing w:after="120"/>
      </w:pPr>
      <w:r>
        <w:rPr>
          <w:sz w:val="18"/>
          <w:color w:val="6B7280"/>
        </w:rPr>
        <w:t xml:space="preserve">Изделие медицинского назначения. Перед применением рекомендуется консультация специалиста. Хранить в недоступном для детей месте. Ts 306766008-012:2021. Производитель: ООО «HVARA», Республика Узбекистан, Хорезмская обл., г. Ургенч, ул. И. Дусов,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