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Нейрокентрон КИДС</w:t>
      </w:r>
    </w:p>
    <w:p>
      <w:pPr>
        <w:spacing w:after="160"/>
      </w:pPr>
      <w:r>
        <w:rPr>
          <w:sz w:val="22"/>
          <w:color w:val="6B7280"/>
        </w:rPr>
        <w:t xml:space="preserve">Гель для приёма внутрь с цитидином, уридином, лецитином и метилфолатом. Питание и развитие нервной системы у детей.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Гель для приёма внутрь по 10 мл (стики).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Цитидин — 10 мг · Уридин — 20 мг
                <w:br/>
                Лецитин — 100 мг · Метилфолат — 100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Цитидин и уридин</w:t>
      </w:r>
    </w:p>
    <w:p>
      <w:pPr>
        <w:spacing w:after="120"/>
      </w:pPr>
      <w:r>
        <w:rPr>
          <w:sz w:val="22"/>
        </w:rPr>
        <w:t xml:space="preserve">Нуклеозиды — естественные компоненты всех клеток и часть РНК. Восстанавливают мембраны нейронов, поддерживают работу нейромедиаторов и проведение нервного импульса, способствуют синаптогенезу и росту аксонов.</w:t>
      </w:r>
    </w:p>
    <w:p>
      <w:pPr>
        <w:spacing w:after="20"/>
      </w:pPr>
      <w:r>
        <w:rPr>
          <w:b/>
          <w:sz w:val="22"/>
        </w:rPr>
        <w:t xml:space="preserve">Лецитин</w:t>
      </w:r>
    </w:p>
    <w:p>
      <w:pPr>
        <w:spacing w:after="120"/>
      </w:pPr>
      <w:r>
        <w:rPr>
          <w:sz w:val="22"/>
        </w:rPr>
        <w:t xml:space="preserve">Комплекс фосфолипидов — строительный материал нейронов. Участвует в формировании миелина, источник холина и ацетилхолина, поддерживает память и внимание, улучшает нервно-мышечную передачу. Мощный антиоксидант.</w:t>
      </w:r>
    </w:p>
    <w:p>
      <w:pPr>
        <w:spacing w:after="20"/>
      </w:pPr>
      <w:r>
        <w:rPr>
          <w:b/>
          <w:sz w:val="22"/>
        </w:rPr>
        <w:t xml:space="preserve">Метилфолат</w:t>
      </w:r>
    </w:p>
    <w:p>
      <w:pPr>
        <w:spacing w:after="120"/>
      </w:pPr>
      <w:r>
        <w:rPr>
          <w:sz w:val="22"/>
        </w:rPr>
        <w:t xml:space="preserve">Активная форма фолиевой кислоты, фундаментальна для работы ЦНС. Снижает уровень гомоцистеина, защищает нейроны от окислительного стресса, улучшает память и восстановление нервных волокон.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Развитие ЦНС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Задержка психомоторного и психоречевого развития, плохая обучаемость, гиперактивность.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Когнитивные функции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памяти, внимания и концентрации, быстрая утомляемость мозга.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Неврозы, астенизация, стрессовые ситуации, улучшение адаптации и настроения.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Восстановление нервов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Нейропатии, невралгии, последствия травм, нейропатия лицевого нерва.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До или после еды, только для приёма внутрь. Детям с 1 года — по 1 стику 1 раз в день; с 3 лет — по 1 стику 2 раза в день. Курс — от 20 дней до 1 месяца. При необходимости по рекомендации врача курс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При появлении побочных действий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