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Нейропресс</w:t>
      </w:r>
    </w:p>
    <w:p>
      <w:pPr>
        <w:spacing w:after="160"/>
      </w:pPr>
      <w:r>
        <w:rPr>
          <w:sz w:val="22"/>
          <w:color w:val="6B7280"/>
        </w:rPr>
        <w:t xml:space="preserve">Капли для приёма внутрь с ГАМК, глицином, глутаминовой и гопантеновой кислотами и витаминами B. Поддержка когнитивной функции.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Капли для приёма внутрь, 50 мл во флаконе.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ГАМК — 125 мг · Глицин — 40 мг · Глутаминовая кислота — 100 мг
                <w:br/>
                Гопантеновая кислота — 100 мг
                <w:br/>
                Вит. B2 — 0,5 мг · B3 — 2,0 мг · B6 — 0,5 мг · B12 — 0,3 мкг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ГАМК и гопантеновая кислота</w:t>
      </w:r>
    </w:p>
    <w:p>
      <w:pPr>
        <w:spacing w:after="120"/>
      </w:pPr>
      <w:r>
        <w:rPr>
          <w:sz w:val="22"/>
        </w:rPr>
        <w:t xml:space="preserve">Основные регулирующие медиаторы ЦНС: снижают избыточную возбудимость, оказывают мягкое успокаивающее и ноотропное действие, улучшают обмен в нервных клетках.</w:t>
      </w:r>
    </w:p>
    <w:p>
      <w:pPr>
        <w:spacing w:after="20"/>
      </w:pPr>
      <w:r>
        <w:rPr>
          <w:b/>
          <w:sz w:val="22"/>
        </w:rPr>
        <w:t xml:space="preserve">Глицин и глутаминовая кислота</w:t>
      </w:r>
    </w:p>
    <w:p>
      <w:pPr>
        <w:spacing w:after="120"/>
      </w:pPr>
      <w:r>
        <w:rPr>
          <w:sz w:val="22"/>
        </w:rPr>
        <w:t xml:space="preserve">Аминокислоты — регуляторы обмена веществ: нормализуют процессы торможения в ЦНС, уменьшают психоэмоциональное напряжение, повышают умственную работоспособность.</w:t>
      </w:r>
    </w:p>
    <w:p>
      <w:pPr>
        <w:spacing w:after="20"/>
      </w:pPr>
      <w:r>
        <w:rPr>
          <w:b/>
          <w:sz w:val="22"/>
        </w:rPr>
        <w:t xml:space="preserve">Витамины группы B</w:t>
      </w:r>
    </w:p>
    <w:p>
      <w:pPr>
        <w:spacing w:after="120"/>
      </w:pPr>
      <w:r>
        <w:rPr>
          <w:sz w:val="22"/>
        </w:rPr>
        <w:t xml:space="preserve">B2, B3, B6 и B12 необходимы для работы нервной системы, синтеза нейромедиаторов и энергетического обмена, поддерживают когнитивные функции.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Когнитивные функции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памяти, внимания и концентрации.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Утомляемость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умственной утомляемости.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Стресс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психоэмоционального напряжения, в том числе в период экзаменов и нагрузок.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Нервная система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нормальной работы ЦНС.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внутрь. Точную дозировку и продолжительность курса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Отпуск</w:t>
      </w:r>
    </w:p>
    <w:p>
      <w:pPr>
        <w:spacing w:after="120"/>
      </w:pPr>
      <w:r>
        <w:rPr>
          <w:sz w:val="22"/>
        </w:rPr>
        <w:t xml:space="preserve">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