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Нифурофрил</w:t>
      </w:r>
    </w:p>
    <w:p>
      <w:pPr>
        <w:spacing w:after="160"/>
      </w:pPr>
      <w:r>
        <w:rPr>
          <w:sz w:val="22"/>
          <w:color w:val="6B7280"/>
        </w:rPr>
        <w:t xml:space="preserve">Суспензия для приёма внутрь с нифуроксазидом. Противодиарейное средство при острой бактериальной диарее и кишечных инфекциях.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Суспензия для приёма внутрь, 90 мл во флаконе.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5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Нифуроксазид — 200 мг
                <w:br/>
                Вспомогательные: глицерол, сорбат калия, цикламат натрия, кармеллоза, ароматизатор, вода.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Нифуроксазид</w:t>
      </w:r>
    </w:p>
    <w:p>
      <w:pPr>
        <w:spacing w:after="120"/>
      </w:pPr>
      <w:r>
        <w:rPr>
          <w:sz w:val="22"/>
        </w:rPr>
        <w:t xml:space="preserve">Противомикробное средство, производное нитрофурана. Блокирует ферменты и дыхательные цепи микробной клетки, разрушает её мембрану и снижает продукцию токсинов.</w:t>
      </w:r>
    </w:p>
    <w:p>
      <w:pPr>
        <w:spacing w:after="20"/>
      </w:pPr>
      <w:r>
        <w:rPr>
          <w:b/>
          <w:sz w:val="22"/>
        </w:rPr>
        <w:t xml:space="preserve">Широкий спектр</w:t>
      </w:r>
    </w:p>
    <w:p>
      <w:pPr>
        <w:spacing w:after="120"/>
      </w:pPr>
      <w:r>
        <w:rPr>
          <w:sz w:val="22"/>
        </w:rPr>
        <w:t xml:space="preserve">Высоко активен в отношении Campylobacter, E. coli, Salmonella, Clostridium perfringens, Vibrio cholerae, Staphylococcus и других возбудителей кишечных инфекций.</w:t>
      </w:r>
    </w:p>
    <w:p>
      <w:pPr>
        <w:spacing w:after="20"/>
      </w:pPr>
      <w:r>
        <w:rPr>
          <w:b/>
          <w:sz w:val="22"/>
        </w:rPr>
        <w:t xml:space="preserve">Бережно к микрофлоре</w:t>
      </w:r>
    </w:p>
    <w:p>
      <w:pPr>
        <w:spacing w:after="120"/>
      </w:pPr>
      <w:r>
        <w:rPr>
          <w:sz w:val="22"/>
        </w:rPr>
        <w:t xml:space="preserve">Не нарушает равновесие кишечной микрофлоры, восстанавливает эубиоз кишечника и препятствует бактериальной суперинфекции при вирусных поражениях.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Острая диарея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Острая бактериальная диарея без ухудшения общего состояния.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Кишечные инфекции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кишечной инфекции.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Бактериальная диарея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бактериальной диарее.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Микрофлора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Восстановление эубиоза кишечника.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Перед применением флакон тщательно взболтать. Дети до 3 лет — 2,5 мл 2–3 раза в сутки; 3–6 лет — 5 мл 3 раза; 6–18 лет — 5 мл 3–4 раза; взрослым — 5 мл 4 раза в сутки. Курс — 5–7 дней (не более 7). Если за 3 дня улучшения нет —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беременность, период новорождённости, недоношенность. Алкоголь при приёме строго запрещён.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Особые указания</w:t>
      </w:r>
    </w:p>
    <w:p>
      <w:pPr>
        <w:spacing w:after="120"/>
      </w:pPr>
      <w:r>
        <w:rPr>
          <w:sz w:val="22"/>
        </w:rPr>
        <w:t xml:space="preserve">При диарее необходима регидратационная терапия. Лечение детей до 3 лет — под наблюдением врача.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Хранить при температуре не выше 25 °C.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