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Нуклео Нейро</w:t>
      </w:r>
    </w:p>
    <w:p>
      <w:pPr>
        <w:spacing w:after="160"/>
      </w:pPr>
      <w:r>
        <w:rPr>
          <w:sz w:val="22"/>
          <w:color w:val="6B7280"/>
        </w:rPr>
        <w:t xml:space="preserve">Капсулы с цитидином и уридином. Поддерживает здоровье нервной системы, способствует улучшению памяти и обучению.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 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капсулу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Цитидин — 5 мг
                <w:br/>
                Уридин — 3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Цитидин</w:t>
      </w:r>
    </w:p>
    <w:p>
      <w:pPr>
        <w:spacing w:after="120"/>
      </w:pPr>
      <w:r>
        <w:rPr>
          <w:sz w:val="22"/>
        </w:rPr>
        <w:t xml:space="preserve">Участвует в синтезе липидов, образующих нейрональную мембрану, прежде всего сфингомиелина — основного компонента миелиновой оболочки. Важен для образования нуклеиновых кислот и белков.</w:t>
      </w:r>
    </w:p>
    <w:p>
      <w:pPr>
        <w:spacing w:after="20"/>
      </w:pPr>
      <w:r>
        <w:rPr>
          <w:b/>
          <w:sz w:val="22"/>
        </w:rPr>
        <w:t xml:space="preserve">Уридин</w:t>
      </w:r>
    </w:p>
    <w:p>
      <w:pPr>
        <w:spacing w:after="120"/>
      </w:pPr>
      <w:r>
        <w:rPr>
          <w:sz w:val="22"/>
        </w:rPr>
        <w:t xml:space="preserve">Действует как кофермент в синтезе гликолипидов, нейрональных структур и миелиновой оболочки, дополняя действие цитидина. Служит источником энергии при сокращении мышц.</w:t>
      </w:r>
    </w:p>
    <w:p>
      <w:pPr>
        <w:spacing w:after="20"/>
      </w:pPr>
      <w:r>
        <w:rPr>
          <w:b/>
          <w:sz w:val="22"/>
        </w:rPr>
        <w:t xml:space="preserve">Общее действие</w:t>
      </w:r>
    </w:p>
    <w:p>
      <w:pPr>
        <w:spacing w:after="120"/>
      </w:pPr>
      <w:r>
        <w:rPr>
          <w:sz w:val="22"/>
        </w:rPr>
        <w:t xml:space="preserve">Активирует обмен в нервных клетках, восстанавливает миелиновую оболочку, улучшает трофику ЦНС и периферической нервной системы, память и внимание.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Нейропатии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Костно-суставные нейропатии (ишиас, радикулит), диабетическая невропатия, алкогольные полиневриты.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Невралгии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Невралгия лицевого, тройничного, межрёберных нервов, люмбаго.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Память и внимание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Нейропсихологическая недостаточность с нарушением памяти, внимания и чувствительности.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Опоясывающий герпес, паралич Белла, осложнения сосудистых заболеваний мозга.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— по 1–2 капсулы 2 раза в день; детям с 5 лет — по 1 капсуле 2 раза в день, до или после еды. Курс — не менее 10 дней, при показаниях до 20 дней. При необходимости по рекомендации врача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