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Ретилан</w:t>
      </w:r>
    </w:p>
    <w:p>
      <w:pPr>
        <w:spacing w:after="160"/>
      </w:pPr>
      <w:r>
        <w:rPr>
          <w:sz w:val="22"/>
          <w:color w:val="6B7280"/>
        </w:rPr>
        <w:t xml:space="preserve">Глазные капли с цитиколином, витамином B12 и гиалуронатом натрия. Офтальмологический нейропротектор.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Капли глазные по 10 мл во флаконе. Прозрачный раствор красного цвета.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Цитиколин натрия — 20,0 мг
                <w:br/>
                Гиалуронат натрия — 2,0 мг · B12 — 0,5 мг
                <w:br/>
                Натрия хлорид, фосфаты, вода очищенная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Цитиколин</w:t>
      </w:r>
    </w:p>
    <w:p>
      <w:pPr>
        <w:spacing w:after="120"/>
      </w:pPr>
      <w:r>
        <w:rPr>
          <w:sz w:val="22"/>
        </w:rPr>
        <w:t xml:space="preserve">Предшественник фосфолипидов нейрональных мембран. Восстанавливает целостность повреждённых мембран нервных клеток, фактор роста нервных волокон зрительного нерва при дегенеративных патологиях.</w:t>
      </w:r>
    </w:p>
    <w:p>
      <w:pPr>
        <w:spacing w:after="20"/>
      </w:pPr>
      <w:r>
        <w:rPr>
          <w:b/>
          <w:sz w:val="22"/>
        </w:rPr>
        <w:t xml:space="preserve">Витамин B12</w:t>
      </w:r>
    </w:p>
    <w:p>
      <w:pPr>
        <w:spacing w:after="120"/>
      </w:pPr>
      <w:r>
        <w:rPr>
          <w:sz w:val="22"/>
        </w:rPr>
        <w:t xml:space="preserve">Восстанавливает миелинизацию и регенерацию нервных волокон, способствует реэпителизации роговицы и защищает клетки от свободных радикалов.</w:t>
      </w:r>
    </w:p>
    <w:p>
      <w:pPr>
        <w:spacing w:after="20"/>
      </w:pPr>
      <w:r>
        <w:rPr>
          <w:b/>
          <w:sz w:val="22"/>
        </w:rPr>
        <w:t xml:space="preserve">Гиалуронат натрия</w:t>
      </w:r>
    </w:p>
    <w:p>
      <w:pPr>
        <w:spacing w:after="120"/>
      </w:pPr>
      <w:r>
        <w:rPr>
          <w:sz w:val="22"/>
        </w:rPr>
        <w:t xml:space="preserve">Улучшает стабильность слёзной плёнки, удерживает действующие компоненты на поверхности глаза и способствует миграции цитиколина в структуры глаза.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Глаукома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Оптическая глаукоматозная нейропатия, ишемическая нейропатия.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Ретинопатии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Диабетическая ретинопатия, макулодистрофия, изменения сетчатки.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Зрение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Миопия и гиперметропия высокой степени, амблиопия, катаракта.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После операций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Оперативные вмешательства на переднем сегменте глаза.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По 1 капле 2–3 раза в сутки или по назначению врача. Рекомендуемый курс — 2 месяца 3 раза в год или 4 месяца 2 раза в год. Подождать 10–15 минут перед другими офтальмологическими средствами.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 продукта.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Возможна временная нечёткость зрения после закапывания. При нежелательных реакциях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Взаимодействие</w:t>
      </w:r>
    </w:p>
    <w:p>
      <w:pPr>
        <w:spacing w:after="120"/>
      </w:pPr>
      <w:r>
        <w:rPr>
          <w:sz w:val="22"/>
        </w:rPr>
        <w:t xml:space="preserve">B12 фармакологически несовместим с аскорбиновой кислотой, солями тяжёлых металлов, тиамином, пиридоксином, рибофлавином.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Хранение · срок</w:t>
      </w:r>
    </w:p>
    <w:p>
      <w:pPr>
        <w:spacing w:after="120"/>
      </w:pPr>
      <w:r>
        <w:rPr>
          <w:sz w:val="22"/>
        </w:rPr>
        <w:t xml:space="preserve">При температуре не выше 25 °C. 2 года; после вскрытия — 1 месяц. 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Изделие медицинского назначения. Перед применением рекомендуется консультация специалиста. Хранить в недоступном для детей месте. Ts 306766008-013:2021.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